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5286E133" w:rsidR="007B1221" w:rsidRPr="00CE0424" w:rsidRDefault="007B1221" w:rsidP="007B1221">
      <w:pPr>
        <w:pStyle w:val="3GPPHeader"/>
        <w:spacing w:after="60"/>
        <w:rPr>
          <w:sz w:val="32"/>
          <w:szCs w:val="32"/>
          <w:highlight w:val="yellow"/>
        </w:rPr>
      </w:pPr>
      <w:bookmarkStart w:id="0" w:name="_Hlk485401214"/>
      <w:r w:rsidRPr="00CE0424">
        <w:t>3GPP TSG-RAN #</w:t>
      </w:r>
      <w:r w:rsidR="006937A5">
        <w:t>8</w:t>
      </w:r>
      <w:r w:rsidR="00E05EDE">
        <w:t>3</w:t>
      </w:r>
      <w:r w:rsidRPr="00CE0424">
        <w:tab/>
      </w:r>
      <w:proofErr w:type="spellStart"/>
      <w:r w:rsidRPr="005B450E">
        <w:rPr>
          <w:szCs w:val="24"/>
        </w:rPr>
        <w:t>Tdoc</w:t>
      </w:r>
      <w:proofErr w:type="spellEnd"/>
      <w:r w:rsidRPr="005B450E">
        <w:rPr>
          <w:szCs w:val="24"/>
        </w:rPr>
        <w:t xml:space="preserve"> R</w:t>
      </w:r>
      <w:r w:rsidR="006937A5" w:rsidRPr="005B450E">
        <w:rPr>
          <w:szCs w:val="24"/>
        </w:rPr>
        <w:t>P</w:t>
      </w:r>
      <w:r w:rsidRPr="005B450E">
        <w:rPr>
          <w:szCs w:val="24"/>
        </w:rPr>
        <w:t>-</w:t>
      </w:r>
      <w:r w:rsidR="009B7F8C" w:rsidRPr="005B450E">
        <w:rPr>
          <w:szCs w:val="24"/>
        </w:rPr>
        <w:t>1</w:t>
      </w:r>
      <w:r w:rsidR="00E05EDE">
        <w:rPr>
          <w:szCs w:val="24"/>
        </w:rPr>
        <w:t>90508</w:t>
      </w:r>
    </w:p>
    <w:p w14:paraId="4FEBBCA1" w14:textId="4190E41A" w:rsidR="00F044C9" w:rsidRDefault="005B450E" w:rsidP="007B1221">
      <w:pPr>
        <w:pStyle w:val="3GPPHeader"/>
      </w:pPr>
      <w:r>
        <w:t>S</w:t>
      </w:r>
      <w:r w:rsidR="00E05EDE">
        <w:t>henzhen</w:t>
      </w:r>
      <w:r>
        <w:t xml:space="preserve">, </w:t>
      </w:r>
      <w:r w:rsidR="00E05EDE">
        <w:t>China</w:t>
      </w:r>
      <w:r w:rsidR="007B1221" w:rsidRPr="004A782B">
        <w:t xml:space="preserve">, </w:t>
      </w:r>
      <w:r w:rsidR="007B1221">
        <w:t>1</w:t>
      </w:r>
      <w:r w:rsidR="00E05EDE">
        <w:t>8</w:t>
      </w:r>
      <w:r w:rsidR="007B1221" w:rsidRPr="00D323F0">
        <w:rPr>
          <w:vertAlign w:val="superscript"/>
        </w:rPr>
        <w:t>th</w:t>
      </w:r>
      <w:r w:rsidR="007B1221">
        <w:t xml:space="preserve"> </w:t>
      </w:r>
      <w:r w:rsidR="007B1221" w:rsidRPr="00631CA0">
        <w:t xml:space="preserve">– </w:t>
      </w:r>
      <w:r w:rsidR="00E05EDE">
        <w:t>21</w:t>
      </w:r>
      <w:r w:rsidR="00E05EDE">
        <w:rPr>
          <w:vertAlign w:val="superscript"/>
        </w:rPr>
        <w:t>st</w:t>
      </w:r>
      <w:r w:rsidR="007B1221">
        <w:t xml:space="preserve"> </w:t>
      </w:r>
      <w:proofErr w:type="gramStart"/>
      <w:r w:rsidR="00E05EDE">
        <w:t>March</w:t>
      </w:r>
      <w:r>
        <w:t>,</w:t>
      </w:r>
      <w:proofErr w:type="gramEnd"/>
      <w:r w:rsidR="006937A5">
        <w:t xml:space="preserve"> </w:t>
      </w:r>
      <w:r w:rsidR="007B1221" w:rsidRPr="00631CA0">
        <w:t>201</w:t>
      </w:r>
      <w:r w:rsidR="00E05EDE">
        <w:t>9</w:t>
      </w:r>
      <w:r w:rsidR="00F044C9">
        <w:rPr>
          <w:szCs w:val="24"/>
        </w:rPr>
        <w:tab/>
      </w:r>
      <w:bookmarkEnd w:id="0"/>
    </w:p>
    <w:p w14:paraId="1739397F" w14:textId="77777777" w:rsidR="00386D0F" w:rsidRPr="00CE0424" w:rsidRDefault="00386D0F" w:rsidP="00386D0F">
      <w:pPr>
        <w:pStyle w:val="3GPPHeader"/>
      </w:pPr>
    </w:p>
    <w:p w14:paraId="336F98C5" w14:textId="21F816AB" w:rsidR="00C94BAE" w:rsidRPr="00B701B4" w:rsidRDefault="00C94BAE" w:rsidP="00C94BAE">
      <w:pPr>
        <w:pStyle w:val="3GPPHeader"/>
        <w:rPr>
          <w:sz w:val="22"/>
          <w:szCs w:val="22"/>
          <w:lang w:val="en-US"/>
        </w:rPr>
      </w:pPr>
      <w:r w:rsidRPr="00B701B4">
        <w:rPr>
          <w:sz w:val="22"/>
          <w:szCs w:val="22"/>
          <w:lang w:val="en-US"/>
        </w:rPr>
        <w:t>Agenda Item:</w:t>
      </w:r>
      <w:r w:rsidRPr="00B701B4">
        <w:rPr>
          <w:sz w:val="22"/>
          <w:szCs w:val="22"/>
          <w:lang w:val="en-US"/>
        </w:rPr>
        <w:tab/>
      </w:r>
      <w:r w:rsidR="009B7F8C" w:rsidRPr="00B701B4">
        <w:rPr>
          <w:sz w:val="22"/>
          <w:szCs w:val="22"/>
          <w:lang w:val="en-US"/>
        </w:rPr>
        <w:t>9.</w:t>
      </w:r>
      <w:r w:rsidR="00E05EDE">
        <w:rPr>
          <w:sz w:val="22"/>
          <w:szCs w:val="22"/>
          <w:lang w:val="en-US"/>
        </w:rPr>
        <w:t>4.6</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665EEF44" w:rsidR="00C94BAE" w:rsidRDefault="00C94BAE" w:rsidP="00C94BAE">
      <w:pPr>
        <w:pStyle w:val="3GPPHeader"/>
        <w:rPr>
          <w:sz w:val="22"/>
          <w:szCs w:val="22"/>
        </w:rPr>
      </w:pPr>
      <w:r>
        <w:rPr>
          <w:sz w:val="22"/>
          <w:szCs w:val="22"/>
        </w:rPr>
        <w:t>Title:</w:t>
      </w:r>
      <w:r>
        <w:rPr>
          <w:sz w:val="22"/>
          <w:szCs w:val="22"/>
        </w:rPr>
        <w:tab/>
      </w:r>
      <w:r w:rsidR="003D7932" w:rsidRPr="003D7932">
        <w:rPr>
          <w:sz w:val="22"/>
          <w:szCs w:val="22"/>
        </w:rPr>
        <w:t xml:space="preserve">On </w:t>
      </w:r>
      <w:r w:rsidR="00B701B4">
        <w:rPr>
          <w:sz w:val="22"/>
          <w:szCs w:val="22"/>
        </w:rPr>
        <w:t>A</w:t>
      </w:r>
      <w:r w:rsidR="00C03A4F">
        <w:rPr>
          <w:sz w:val="22"/>
          <w:szCs w:val="22"/>
        </w:rPr>
        <w:t xml:space="preserve">spects </w:t>
      </w:r>
      <w:r w:rsidR="00B701B4">
        <w:rPr>
          <w:sz w:val="22"/>
          <w:szCs w:val="22"/>
        </w:rPr>
        <w:t>R</w:t>
      </w:r>
      <w:r w:rsidR="00C03A4F">
        <w:rPr>
          <w:sz w:val="22"/>
          <w:szCs w:val="22"/>
        </w:rPr>
        <w:t xml:space="preserve">elated to </w:t>
      </w:r>
      <w:r w:rsidR="00E05EDE">
        <w:rPr>
          <w:sz w:val="22"/>
          <w:szCs w:val="22"/>
        </w:rPr>
        <w:t>Operation of NR in Unlicensed Spectrum</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4A0B5834" w14:textId="7E52407F" w:rsidR="00780A21" w:rsidRDefault="00780A21" w:rsidP="00E40888">
      <w:r>
        <w:t xml:space="preserve">The RAN1-led </w:t>
      </w:r>
      <w:r w:rsidR="00115AB5">
        <w:t>work</w:t>
      </w:r>
      <w:r>
        <w:t xml:space="preserve"> item on NR-based access to unlicensed spectrum</w:t>
      </w:r>
      <w:r w:rsidR="00B074A9">
        <w:t xml:space="preserve">, </w:t>
      </w:r>
      <w:r w:rsidR="00AA6158">
        <w:t xml:space="preserve">focusing on </w:t>
      </w:r>
      <w:r>
        <w:t xml:space="preserve">the 5 and 6 GHz </w:t>
      </w:r>
      <w:proofErr w:type="gramStart"/>
      <w:r>
        <w:t>bands</w:t>
      </w:r>
      <w:r w:rsidR="00B074A9">
        <w:t xml:space="preserve">, </w:t>
      </w:r>
      <w:r>
        <w:t xml:space="preserve"> was</w:t>
      </w:r>
      <w:proofErr w:type="gramEnd"/>
      <w:r>
        <w:t xml:space="preserve"> recently </w:t>
      </w:r>
      <w:r w:rsidR="00B074A9">
        <w:t>started</w:t>
      </w:r>
      <w:r>
        <w:t xml:space="preserve"> </w:t>
      </w:r>
      <w:r w:rsidR="00AA6158">
        <w:fldChar w:fldCharType="begin"/>
      </w:r>
      <w:r w:rsidR="00AA6158">
        <w:instrText xml:space="preserve"> REF _Ref531088864 \r \h </w:instrText>
      </w:r>
      <w:r w:rsidR="00AA6158">
        <w:fldChar w:fldCharType="separate"/>
      </w:r>
      <w:r w:rsidR="007D6FF5">
        <w:t>[1]</w:t>
      </w:r>
      <w:r w:rsidR="00AA6158">
        <w:fldChar w:fldCharType="end"/>
      </w:r>
      <w:r w:rsidR="00265F0E">
        <w:t xml:space="preserve"> after RAN#82</w:t>
      </w:r>
      <w:r>
        <w:t xml:space="preserve">. </w:t>
      </w:r>
      <w:r w:rsidR="00F169B9">
        <w:t xml:space="preserve">In a related development, the IEEE has invited 3GPP and other organizations to a coexistence workshop in July 2019 </w:t>
      </w:r>
      <w:r w:rsidR="00F169B9">
        <w:fldChar w:fldCharType="begin"/>
      </w:r>
      <w:r w:rsidR="00F169B9">
        <w:instrText xml:space="preserve"> REF _Ref531088877 \r \h </w:instrText>
      </w:r>
      <w:r w:rsidR="00F169B9">
        <w:fldChar w:fldCharType="separate"/>
      </w:r>
      <w:r w:rsidR="007D6FF5">
        <w:t>[2]</w:t>
      </w:r>
      <w:r w:rsidR="00F169B9">
        <w:fldChar w:fldCharType="end"/>
      </w:r>
      <w:r w:rsidR="00F169B9">
        <w:t xml:space="preserve">. </w:t>
      </w:r>
      <w:r w:rsidR="00B074A9">
        <w:t>I</w:t>
      </w:r>
      <w:r>
        <w:t>n this contribution, we discuss several aspects relat</w:t>
      </w:r>
      <w:r w:rsidR="00F169B9">
        <w:t>ed to the ongoing work on NR-U</w:t>
      </w:r>
      <w:r>
        <w:t>.</w:t>
      </w:r>
    </w:p>
    <w:p w14:paraId="08C107D3" w14:textId="476DEEF1" w:rsidR="00F169B9" w:rsidRDefault="00F169B9" w:rsidP="001570C7">
      <w:pPr>
        <w:pStyle w:val="Heading1"/>
      </w:pPr>
      <w:r>
        <w:t>Aspects Related to the Coexistence Workshop Organized by the IEEE</w:t>
      </w:r>
    </w:p>
    <w:p w14:paraId="2C856F42" w14:textId="34814245" w:rsidR="009B0950" w:rsidRDefault="00F169B9" w:rsidP="009B0950">
      <w:r>
        <w:t xml:space="preserve">The </w:t>
      </w:r>
      <w:r w:rsidR="00450096">
        <w:t>liaison statement inviting 3GPP to the work shop says, “</w:t>
      </w:r>
      <w:r w:rsidR="00450096" w:rsidRPr="00450096">
        <w:t xml:space="preserve">We are delighted to invite interested members of 3GPP RAN to participate in a </w:t>
      </w:r>
      <w:proofErr w:type="gramStart"/>
      <w:r w:rsidR="00450096" w:rsidRPr="00450096">
        <w:t>one day</w:t>
      </w:r>
      <w:proofErr w:type="gramEnd"/>
      <w:r w:rsidR="00450096" w:rsidRPr="00450096">
        <w:t xml:space="preserve"> Coexistence Workshop being organized by the IEEE 802.11 Working Group, </w:t>
      </w:r>
      <w:r w:rsidR="00450096" w:rsidRPr="00450096">
        <w:rPr>
          <w:color w:val="FF0000"/>
        </w:rPr>
        <w:t>in collaboration with 3GPP RAN,</w:t>
      </w:r>
      <w:r w:rsidR="00450096" w:rsidRPr="00450096">
        <w:t xml:space="preserve"> in Vienna, Austria on Wednesday, 17 July 2019 between 1pm and 9pm.</w:t>
      </w:r>
      <w:r w:rsidR="00450096">
        <w:t>” The liaison further provides a link where the details of the workshop will be published (</w:t>
      </w:r>
      <w:r w:rsidR="003B4C0F">
        <w:rPr>
          <w:rStyle w:val="Hyperlink"/>
        </w:rPr>
        <w:fldChar w:fldCharType="begin"/>
      </w:r>
      <w:r w:rsidR="003B4C0F">
        <w:rPr>
          <w:rStyle w:val="Hyperlink"/>
        </w:rPr>
        <w:instrText xml:space="preserve"> HYPERLINK "http://grouper.ieee.org/groups/802/11/Workshops/2019-July-Coex/workshop.htm" </w:instrText>
      </w:r>
      <w:r w:rsidR="003B4C0F">
        <w:rPr>
          <w:rStyle w:val="Hyperlink"/>
        </w:rPr>
        <w:fldChar w:fldCharType="separate"/>
      </w:r>
      <w:r w:rsidR="0019735F" w:rsidRPr="00DA19A7">
        <w:rPr>
          <w:rStyle w:val="Hyperlink"/>
        </w:rPr>
        <w:t>http://grouper.ieee.org/groups/802/11/Workshops/2019-July-Coex/workshop.htm</w:t>
      </w:r>
      <w:r w:rsidR="003B4C0F">
        <w:rPr>
          <w:rStyle w:val="Hyperlink"/>
        </w:rPr>
        <w:fldChar w:fldCharType="end"/>
      </w:r>
      <w:r w:rsidR="00450096">
        <w:t>)</w:t>
      </w:r>
      <w:r w:rsidR="00450096" w:rsidRPr="00450096">
        <w:t>.</w:t>
      </w:r>
      <w:r w:rsidR="0019735F">
        <w:t xml:space="preserve"> At this link</w:t>
      </w:r>
      <w:r w:rsidR="009B0950">
        <w:t>, the workshop invitation reads as follows:</w:t>
      </w:r>
    </w:p>
    <w:p w14:paraId="6FC2DA76" w14:textId="160A03A2" w:rsidR="00F169B9" w:rsidRDefault="009B0950" w:rsidP="009B0950">
      <w:r>
        <w:t xml:space="preserve">“The IEEE 802.11 Working Group are delighted to invite any interested stakeholders (including technology providers, solution providers, operators and users) to participate in a </w:t>
      </w:r>
      <w:proofErr w:type="gramStart"/>
      <w:r>
        <w:t>one day</w:t>
      </w:r>
      <w:proofErr w:type="gramEnd"/>
      <w:r>
        <w:t xml:space="preserve"> Coexistence Workshop being organized by the IEEE 802.11 Working Group, </w:t>
      </w:r>
      <w:r w:rsidRPr="009B0950">
        <w:rPr>
          <w:color w:val="FF0000"/>
        </w:rPr>
        <w:t>in collaboration with 3GPP RAN</w:t>
      </w:r>
      <w:r>
        <w:t>, in Vienna, Austria on 17 July 2019.</w:t>
      </w:r>
    </w:p>
    <w:p w14:paraId="55550206" w14:textId="6BAE1A5B" w:rsidR="00450096" w:rsidRDefault="00450096" w:rsidP="00F169B9"/>
    <w:p w14:paraId="1AEC1B6C" w14:textId="113618F0" w:rsidR="00E62828" w:rsidRDefault="00615854" w:rsidP="0047414C">
      <w:pPr>
        <w:pStyle w:val="Proposal"/>
      </w:pPr>
      <w:bookmarkStart w:id="1" w:name="_Toc3196645"/>
      <w:bookmarkStart w:id="2" w:name="_Toc3196749"/>
      <w:bookmarkStart w:id="3" w:name="_Toc3200196"/>
      <w:bookmarkStart w:id="4" w:name="_Toc3200295"/>
      <w:bookmarkStart w:id="5" w:name="_Toc3201132"/>
      <w:bookmarkStart w:id="6" w:name="_Toc3204894"/>
      <w:r>
        <w:t xml:space="preserve">Considering that 3GPP is one of the invitees to the workshop, it would be preferable to </w:t>
      </w:r>
      <w:r w:rsidR="00433ECF">
        <w:t>remove the words</w:t>
      </w:r>
      <w:r w:rsidR="00BE0BCD">
        <w:t>, “in collaboration with 3GPP RAN”, in the workshop invitation.</w:t>
      </w:r>
      <w:bookmarkEnd w:id="1"/>
      <w:bookmarkEnd w:id="2"/>
      <w:bookmarkEnd w:id="3"/>
      <w:bookmarkEnd w:id="4"/>
      <w:bookmarkEnd w:id="5"/>
      <w:bookmarkEnd w:id="6"/>
    </w:p>
    <w:p w14:paraId="6369BFA7" w14:textId="573A93E6" w:rsidR="00E62828" w:rsidRPr="00E62828" w:rsidRDefault="0047414C" w:rsidP="00AA40CC">
      <w:pPr>
        <w:pStyle w:val="Proposal"/>
        <w:numPr>
          <w:ilvl w:val="0"/>
          <w:numId w:val="0"/>
        </w:numPr>
        <w:rPr>
          <w:b w:val="0"/>
        </w:rPr>
      </w:pPr>
      <w:r>
        <w:rPr>
          <w:b w:val="0"/>
        </w:rPr>
        <w:t xml:space="preserve"> </w:t>
      </w:r>
    </w:p>
    <w:p w14:paraId="1AB72A7E" w14:textId="6788DE32" w:rsidR="00780A21" w:rsidRDefault="00780A21" w:rsidP="001570C7">
      <w:pPr>
        <w:pStyle w:val="Heading1"/>
      </w:pPr>
      <w:r>
        <w:t>Technology Neutral Channel Access for 6 GHz Band</w:t>
      </w:r>
    </w:p>
    <w:p w14:paraId="2A351E50" w14:textId="07AD9AA5" w:rsidR="00B54640" w:rsidRDefault="004F4ED0" w:rsidP="006E52F0">
      <w:pPr>
        <w:rPr>
          <w:lang w:val="en-US"/>
        </w:rPr>
      </w:pPr>
      <w:r>
        <w:rPr>
          <w:lang w:val="en-US"/>
        </w:rPr>
        <w:t>The NR-U study</w:t>
      </w:r>
      <w:r w:rsidR="00D1654C">
        <w:rPr>
          <w:lang w:val="en-US"/>
        </w:rPr>
        <w:t xml:space="preserve"> and work</w:t>
      </w:r>
      <w:r>
        <w:rPr>
          <w:lang w:val="en-US"/>
        </w:rPr>
        <w:t xml:space="preserve"> item</w:t>
      </w:r>
      <w:r w:rsidR="00D1654C">
        <w:rPr>
          <w:lang w:val="en-US"/>
        </w:rPr>
        <w:t>s</w:t>
      </w:r>
      <w:r>
        <w:rPr>
          <w:lang w:val="en-US"/>
        </w:rPr>
        <w:t xml:space="preserve"> focus primarily on the 5 and 6 GHz bands.</w:t>
      </w:r>
    </w:p>
    <w:p w14:paraId="43D1EF2D" w14:textId="5FA8820B" w:rsidR="00B54640" w:rsidRDefault="0020619D" w:rsidP="006E52F0">
      <w:pPr>
        <w:rPr>
          <w:lang w:val="en-US"/>
        </w:rPr>
      </w:pPr>
      <w:r>
        <w:rPr>
          <w:lang w:val="en-US"/>
        </w:rPr>
        <w:t xml:space="preserve">When LAA was introduced in Rel-13 for the 5 GHz band, there were already a significant number of Wi-Fi nodes deployed in </w:t>
      </w:r>
      <w:r w:rsidR="0085736D">
        <w:rPr>
          <w:lang w:val="en-US"/>
        </w:rPr>
        <w:t>the</w:t>
      </w:r>
      <w:r>
        <w:rPr>
          <w:lang w:val="en-US"/>
        </w:rPr>
        <w:t xml:space="preserve"> band. This led to the adoption of a coexistence criterion for the 5 GHz unlicensed band which stated </w:t>
      </w:r>
      <w:r w:rsidR="00B54640">
        <w:rPr>
          <w:lang w:val="en-US"/>
        </w:rPr>
        <w:t xml:space="preserve">that </w:t>
      </w:r>
      <w:r>
        <w:rPr>
          <w:lang w:val="en-US"/>
        </w:rPr>
        <w:t xml:space="preserve">new technologies such as LAA </w:t>
      </w:r>
      <w:r w:rsidR="00B54640">
        <w:rPr>
          <w:lang w:val="en-US"/>
        </w:rPr>
        <w:t xml:space="preserve">should not impact deployed Wi-Fi more than an additional Wi-Fi network on the same carrier. As documented in TR 38.889 </w:t>
      </w:r>
      <w:r w:rsidR="00B54640">
        <w:rPr>
          <w:lang w:val="en-US"/>
        </w:rPr>
        <w:fldChar w:fldCharType="begin"/>
      </w:r>
      <w:r w:rsidR="00B54640">
        <w:rPr>
          <w:lang w:val="en-US"/>
        </w:rPr>
        <w:instrText xml:space="preserve"> REF _Ref531088864 \r \h </w:instrText>
      </w:r>
      <w:r w:rsidR="00B54640">
        <w:rPr>
          <w:lang w:val="en-US"/>
        </w:rPr>
      </w:r>
      <w:r w:rsidR="00B54640">
        <w:rPr>
          <w:lang w:val="en-US"/>
        </w:rPr>
        <w:fldChar w:fldCharType="separate"/>
      </w:r>
      <w:r w:rsidR="007D6FF5">
        <w:rPr>
          <w:lang w:val="en-US"/>
        </w:rPr>
        <w:t>[1]</w:t>
      </w:r>
      <w:r w:rsidR="00B54640">
        <w:rPr>
          <w:lang w:val="en-US"/>
        </w:rPr>
        <w:fldChar w:fldCharType="end"/>
      </w:r>
      <w:r w:rsidR="00B54640">
        <w:rPr>
          <w:lang w:val="en-US"/>
        </w:rPr>
        <w:t xml:space="preserve">, </w:t>
      </w:r>
      <w:r>
        <w:rPr>
          <w:lang w:val="en-US"/>
        </w:rPr>
        <w:t xml:space="preserve">NR-U </w:t>
      </w:r>
      <w:r w:rsidR="007F424C">
        <w:rPr>
          <w:lang w:val="en-US"/>
        </w:rPr>
        <w:t xml:space="preserve">achieves good </w:t>
      </w:r>
      <w:r w:rsidR="00F54DA9">
        <w:rPr>
          <w:lang w:val="en-US"/>
        </w:rPr>
        <w:t xml:space="preserve">coexistence </w:t>
      </w:r>
      <w:r w:rsidR="007F424C">
        <w:rPr>
          <w:lang w:val="en-US"/>
        </w:rPr>
        <w:t>under</w:t>
      </w:r>
      <w:r w:rsidR="00F54DA9">
        <w:rPr>
          <w:lang w:val="en-US"/>
        </w:rPr>
        <w:t xml:space="preserve"> this </w:t>
      </w:r>
      <w:r w:rsidR="007F424C">
        <w:rPr>
          <w:lang w:val="en-US"/>
        </w:rPr>
        <w:t xml:space="preserve">same </w:t>
      </w:r>
      <w:r w:rsidR="00F93A23">
        <w:rPr>
          <w:lang w:val="en-US"/>
        </w:rPr>
        <w:t>criteri</w:t>
      </w:r>
      <w:r w:rsidR="00D1654C">
        <w:rPr>
          <w:lang w:val="en-US"/>
        </w:rPr>
        <w:t>o</w:t>
      </w:r>
      <w:r w:rsidR="00F93A23">
        <w:rPr>
          <w:lang w:val="en-US"/>
        </w:rPr>
        <w:t xml:space="preserve">n </w:t>
      </w:r>
      <w:r w:rsidR="00B54640">
        <w:rPr>
          <w:lang w:val="en-US"/>
        </w:rPr>
        <w:t xml:space="preserve">by adopting coexistence methods defined </w:t>
      </w:r>
      <w:r w:rsidR="007F424C">
        <w:rPr>
          <w:lang w:val="en-US"/>
        </w:rPr>
        <w:t>for LTE-LAA for</w:t>
      </w:r>
      <w:r w:rsidR="00B54640">
        <w:rPr>
          <w:lang w:val="en-US"/>
        </w:rPr>
        <w:t xml:space="preserve"> the 5 GHz band plus adopting the recommendations on channel access documented in Section 7.2.1.3.1 of the TR. </w:t>
      </w:r>
      <w:r w:rsidR="001353D0">
        <w:rPr>
          <w:lang w:val="en-US"/>
        </w:rPr>
        <w:t>Evaluations have shown</w:t>
      </w:r>
      <w:r w:rsidR="007F424C">
        <w:rPr>
          <w:lang w:val="en-US"/>
        </w:rPr>
        <w:t xml:space="preserve"> </w:t>
      </w:r>
      <w:r w:rsidR="007F424C">
        <w:rPr>
          <w:lang w:val="en-US"/>
        </w:rPr>
        <w:fldChar w:fldCharType="begin"/>
      </w:r>
      <w:r w:rsidR="007F424C">
        <w:rPr>
          <w:lang w:val="en-US"/>
        </w:rPr>
        <w:instrText xml:space="preserve"> REF _Ref531088864 \r \h </w:instrText>
      </w:r>
      <w:r w:rsidR="007F424C">
        <w:rPr>
          <w:lang w:val="en-US"/>
        </w:rPr>
      </w:r>
      <w:r w:rsidR="007F424C">
        <w:rPr>
          <w:lang w:val="en-US"/>
        </w:rPr>
        <w:fldChar w:fldCharType="separate"/>
      </w:r>
      <w:r w:rsidR="007D6FF5">
        <w:rPr>
          <w:lang w:val="en-US"/>
        </w:rPr>
        <w:t>[1]</w:t>
      </w:r>
      <w:r w:rsidR="007F424C">
        <w:rPr>
          <w:lang w:val="en-US"/>
        </w:rPr>
        <w:fldChar w:fldCharType="end"/>
      </w:r>
      <w:r w:rsidR="001353D0">
        <w:rPr>
          <w:lang w:val="en-US"/>
        </w:rPr>
        <w:t xml:space="preserve"> that</w:t>
      </w:r>
      <w:r w:rsidR="007F424C">
        <w:rPr>
          <w:lang w:val="en-US"/>
        </w:rPr>
        <w:t xml:space="preserve"> not only does NR-U coexist well with Wi-Fi, but </w:t>
      </w:r>
      <w:r w:rsidR="001353D0">
        <w:rPr>
          <w:lang w:val="en-US"/>
        </w:rPr>
        <w:t xml:space="preserve">the performance of </w:t>
      </w:r>
      <w:r w:rsidR="007F424C">
        <w:rPr>
          <w:lang w:val="en-US"/>
        </w:rPr>
        <w:t xml:space="preserve">the </w:t>
      </w:r>
      <w:r w:rsidR="00E41919">
        <w:rPr>
          <w:lang w:val="en-US"/>
        </w:rPr>
        <w:t xml:space="preserve">Wi-Fi network significantly </w:t>
      </w:r>
      <w:r w:rsidR="007F424C">
        <w:rPr>
          <w:lang w:val="en-US"/>
        </w:rPr>
        <w:t xml:space="preserve">improves compared to the baseline performance of a </w:t>
      </w:r>
      <w:r w:rsidR="00277DCA">
        <w:rPr>
          <w:lang w:val="en-US"/>
        </w:rPr>
        <w:t xml:space="preserve">Wi-Fi network </w:t>
      </w:r>
      <w:r w:rsidR="007F424C">
        <w:rPr>
          <w:lang w:val="en-US"/>
        </w:rPr>
        <w:t>coexisting</w:t>
      </w:r>
      <w:r w:rsidR="00277DCA">
        <w:rPr>
          <w:lang w:val="en-US"/>
        </w:rPr>
        <w:t xml:space="preserve"> with another Wi-Fi network</w:t>
      </w:r>
      <w:r w:rsidR="001353D0">
        <w:rPr>
          <w:lang w:val="en-US"/>
        </w:rPr>
        <w:t>.</w:t>
      </w:r>
    </w:p>
    <w:p w14:paraId="606D044B" w14:textId="7EE174E0" w:rsidR="00B80C45" w:rsidRDefault="006E1C43" w:rsidP="00C66B88">
      <w:r>
        <w:t>In contrast, the 6 GHz band</w:t>
      </w:r>
      <w:r w:rsidR="00F93A23">
        <w:t xml:space="preserve"> is greenfield spectrum and there are no existing users that need special consideration. </w:t>
      </w:r>
      <w:r w:rsidR="00F93A23" w:rsidRPr="00F93A23">
        <w:t xml:space="preserve">Moreover, multiple technologies are expected to operate in this spectrum when the spectrum </w:t>
      </w:r>
      <w:r w:rsidR="00F93A23" w:rsidRPr="00F93A23">
        <w:lastRenderedPageBreak/>
        <w:t>becomes available, e.g., NR-U, LTE-LAA, Wi-Fi, etc.</w:t>
      </w:r>
      <w:r w:rsidR="00F93A23">
        <w:t xml:space="preserve"> Therefore, any coexistence criterion here should clearly be technology neutral</w:t>
      </w:r>
      <w:r w:rsidR="00D8333A">
        <w:t>. I</w:t>
      </w:r>
      <w:r>
        <w:t xml:space="preserve">t </w:t>
      </w:r>
      <w:r w:rsidR="00455E9F">
        <w:t xml:space="preserve">is impractical </w:t>
      </w:r>
      <w:r>
        <w:t xml:space="preserve">to adopt a coexistence criterion based on Technology B not impacting Technology A more than </w:t>
      </w:r>
      <w:r w:rsidR="0020619D">
        <w:t xml:space="preserve">Technology </w:t>
      </w:r>
      <w:r>
        <w:t>A would impact itself</w:t>
      </w:r>
      <w:r w:rsidR="00311AF1">
        <w:t>. Such a criterion</w:t>
      </w:r>
      <w:r w:rsidR="00455E9F">
        <w:t xml:space="preserve"> is highly unlikely to be technology neutral</w:t>
      </w:r>
      <w:r>
        <w:t xml:space="preserve">. </w:t>
      </w:r>
      <w:r w:rsidR="00455E9F">
        <w:t xml:space="preserve">For </w:t>
      </w:r>
      <w:r w:rsidR="00311AF1">
        <w:t>example</w:t>
      </w:r>
      <w:r w:rsidR="00455E9F">
        <w:t xml:space="preserve">, an IEEE 802.11ac network </w:t>
      </w:r>
      <w:r w:rsidR="00280778">
        <w:t>c</w:t>
      </w:r>
      <w:r w:rsidR="00455E9F">
        <w:t xml:space="preserve">ould cause more harm to an NR-U network than another NR-U network. </w:t>
      </w:r>
      <w:r w:rsidR="00EC2DDF">
        <w:t xml:space="preserve">In 5 GHz, the potential of a negative impact to already deployed Wi-Fi networks led to </w:t>
      </w:r>
      <w:r w:rsidR="00232F6A">
        <w:t xml:space="preserve">LAA being designed </w:t>
      </w:r>
      <w:proofErr w:type="gramStart"/>
      <w:r w:rsidR="00232F6A">
        <w:t>so as to</w:t>
      </w:r>
      <w:proofErr w:type="gramEnd"/>
      <w:r w:rsidR="00232F6A">
        <w:t xml:space="preserve"> give </w:t>
      </w:r>
      <w:r w:rsidR="00B80C45">
        <w:t>preferential channel access</w:t>
      </w:r>
      <w:r w:rsidR="00EC2DDF">
        <w:t xml:space="preserve"> </w:t>
      </w:r>
      <w:r w:rsidR="00232F6A">
        <w:t>to</w:t>
      </w:r>
      <w:r w:rsidR="00EC2DDF">
        <w:t xml:space="preserve"> Wi-Fi</w:t>
      </w:r>
      <w:r w:rsidR="00B80C45">
        <w:t>. For example, Wi-Fi defers to LTE-LAA at ED = -62 dBm, whereas LTE-LAA defers to Wi-Fi at ED = -72 dBm</w:t>
      </w:r>
      <w:r w:rsidR="00EC2DDF">
        <w:t>. I</w:t>
      </w:r>
      <w:r w:rsidR="00B80C45">
        <w:t>n the 6 GHz band</w:t>
      </w:r>
      <w:r w:rsidR="00EC2DDF">
        <w:t xml:space="preserve">, there is no need for such </w:t>
      </w:r>
      <w:r w:rsidR="00D1654C">
        <w:t xml:space="preserve">overly conservative </w:t>
      </w:r>
      <w:r w:rsidR="00EC2DDF">
        <w:t>protection for existing users and</w:t>
      </w:r>
      <w:r w:rsidR="00B80C45">
        <w:t xml:space="preserve"> </w:t>
      </w:r>
      <w:r w:rsidR="00EC2DDF">
        <w:t>a</w:t>
      </w:r>
      <w:r w:rsidR="00B80C45">
        <w:t>ll technologies should access the band on a technology neutral basis.</w:t>
      </w:r>
    </w:p>
    <w:p w14:paraId="4283FD7C" w14:textId="4053CEFC" w:rsidR="009E65D9" w:rsidRDefault="00FB458A" w:rsidP="006E52F0">
      <w:r>
        <w:t xml:space="preserve">A simple approach to </w:t>
      </w:r>
      <w:r w:rsidR="00F20C27">
        <w:t xml:space="preserve">achieve better alignment between different technologies in a </w:t>
      </w:r>
      <w:r>
        <w:t xml:space="preserve">technology neutral </w:t>
      </w:r>
      <w:r w:rsidR="00F20C27">
        <w:t xml:space="preserve">manner </w:t>
      </w:r>
      <w:r>
        <w:t xml:space="preserve">is for all technologies to adopt a </w:t>
      </w:r>
      <w:r w:rsidR="00981DF8">
        <w:t>harmonized</w:t>
      </w:r>
      <w:r>
        <w:t xml:space="preserve"> </w:t>
      </w:r>
      <w:r w:rsidR="00981DF8">
        <w:t xml:space="preserve">energy </w:t>
      </w:r>
      <w:r>
        <w:t xml:space="preserve">detect (ED) threshold. This approach </w:t>
      </w:r>
      <w:r w:rsidR="009E65D9">
        <w:t>has the following advantages:</w:t>
      </w:r>
    </w:p>
    <w:p w14:paraId="65E374F0" w14:textId="77777777" w:rsidR="009E65D9" w:rsidRDefault="009E65D9" w:rsidP="009E65D9">
      <w:pPr>
        <w:pStyle w:val="ListParagraph"/>
        <w:numPr>
          <w:ilvl w:val="0"/>
          <w:numId w:val="51"/>
        </w:numPr>
        <w:ind w:leftChars="0"/>
        <w:rPr>
          <w:rFonts w:ascii="Arial" w:hAnsi="Arial" w:cs="Arial"/>
        </w:rPr>
      </w:pPr>
      <w:bookmarkStart w:id="7" w:name="_Hlk531545557"/>
      <w:r w:rsidRPr="007725D7">
        <w:rPr>
          <w:rFonts w:ascii="Arial" w:hAnsi="Arial" w:cs="Arial"/>
        </w:rPr>
        <w:t xml:space="preserve">It </w:t>
      </w:r>
      <w:r w:rsidR="00FB458A" w:rsidRPr="007725D7">
        <w:rPr>
          <w:rFonts w:ascii="Arial" w:hAnsi="Arial" w:cs="Arial"/>
        </w:rPr>
        <w:t>does not require one technology to detect and decode the signals/channels of another technology.</w:t>
      </w:r>
    </w:p>
    <w:p w14:paraId="00EBCC43" w14:textId="185C4F5D" w:rsidR="00C66B88" w:rsidRPr="00C66B88" w:rsidRDefault="00F44B7B" w:rsidP="007725D7">
      <w:pPr>
        <w:pStyle w:val="ListParagraph"/>
        <w:numPr>
          <w:ilvl w:val="0"/>
          <w:numId w:val="51"/>
        </w:numPr>
        <w:ind w:leftChars="0"/>
        <w:rPr>
          <w:rFonts w:cs="Arial"/>
        </w:rPr>
      </w:pPr>
      <w:r w:rsidRPr="007725D7">
        <w:rPr>
          <w:rFonts w:ascii="Arial" w:hAnsi="Arial" w:cs="Arial"/>
        </w:rPr>
        <w:t xml:space="preserve">It enables all nodes </w:t>
      </w:r>
      <w:r w:rsidR="008873C3">
        <w:rPr>
          <w:rFonts w:ascii="Arial" w:hAnsi="Arial" w:cs="Arial"/>
        </w:rPr>
        <w:t xml:space="preserve">to be </w:t>
      </w:r>
      <w:r w:rsidRPr="007725D7">
        <w:rPr>
          <w:rFonts w:ascii="Arial" w:hAnsi="Arial" w:cs="Arial"/>
        </w:rPr>
        <w:t>respected at the same energy level regardless of which technology they use.</w:t>
      </w:r>
      <w:r w:rsidR="00B014BB" w:rsidRPr="007725D7">
        <w:rPr>
          <w:rFonts w:ascii="Arial" w:hAnsi="Arial" w:cs="Arial"/>
        </w:rPr>
        <w:t xml:space="preserve"> In </w:t>
      </w:r>
      <w:r w:rsidR="00B014BB" w:rsidRPr="007725D7">
        <w:rPr>
          <w:rFonts w:cs="Arial"/>
        </w:rPr>
        <w:fldChar w:fldCharType="begin"/>
      </w:r>
      <w:r w:rsidR="00B014BB" w:rsidRPr="007725D7">
        <w:rPr>
          <w:rFonts w:ascii="Arial" w:hAnsi="Arial" w:cs="Arial"/>
        </w:rPr>
        <w:instrText xml:space="preserve"> REF _Ref531113230 \r \h </w:instrText>
      </w:r>
      <w:r w:rsidR="009E65D9">
        <w:rPr>
          <w:rFonts w:ascii="Arial" w:hAnsi="Arial" w:cs="Arial"/>
        </w:rPr>
        <w:instrText xml:space="preserve"> \* MERGEFORMAT </w:instrText>
      </w:r>
      <w:r w:rsidR="00B014BB" w:rsidRPr="007725D7">
        <w:rPr>
          <w:rFonts w:cs="Arial"/>
        </w:rPr>
      </w:r>
      <w:r w:rsidR="00B014BB" w:rsidRPr="007725D7">
        <w:rPr>
          <w:rFonts w:cs="Arial"/>
        </w:rPr>
        <w:fldChar w:fldCharType="separate"/>
      </w:r>
      <w:r w:rsidR="007D6FF5">
        <w:rPr>
          <w:rFonts w:ascii="Arial" w:hAnsi="Arial" w:cs="Arial"/>
        </w:rPr>
        <w:t>[3]</w:t>
      </w:r>
      <w:r w:rsidR="00B014BB" w:rsidRPr="007725D7">
        <w:rPr>
          <w:rFonts w:cs="Arial"/>
        </w:rPr>
        <w:fldChar w:fldCharType="end"/>
      </w:r>
      <w:r w:rsidR="00B014BB" w:rsidRPr="007725D7">
        <w:rPr>
          <w:rFonts w:ascii="Arial" w:hAnsi="Arial" w:cs="Arial"/>
        </w:rPr>
        <w:t>, we show that when two technologies adopt a harmonized ED threshold, regardless of whether or not one technology operates with its own lower PD threshold, better coexistence, and better overall performance for both technologies is achieved compared to the two technologies using different ED thresholds.</w:t>
      </w:r>
    </w:p>
    <w:p w14:paraId="1DBF6ECC" w14:textId="7107D23F" w:rsidR="00DE41DB" w:rsidRPr="00AD2E72" w:rsidRDefault="009E65D9" w:rsidP="007725D7">
      <w:pPr>
        <w:pStyle w:val="ListParagraph"/>
        <w:numPr>
          <w:ilvl w:val="0"/>
          <w:numId w:val="51"/>
        </w:numPr>
        <w:ind w:leftChars="0"/>
        <w:rPr>
          <w:rFonts w:cs="Arial"/>
        </w:rPr>
      </w:pPr>
      <w:r>
        <w:rPr>
          <w:rFonts w:ascii="Arial" w:hAnsi="Arial" w:cs="Arial"/>
        </w:rPr>
        <w:t>E</w:t>
      </w:r>
      <w:r w:rsidR="00981DF8" w:rsidRPr="007725D7">
        <w:rPr>
          <w:rFonts w:ascii="Arial" w:hAnsi="Arial" w:cs="Arial"/>
        </w:rPr>
        <w:t xml:space="preserve">ven with a harmonized ED threshold, </w:t>
      </w:r>
      <w:r w:rsidR="00F44B7B" w:rsidRPr="007725D7">
        <w:rPr>
          <w:rFonts w:ascii="Arial" w:hAnsi="Arial" w:cs="Arial"/>
        </w:rPr>
        <w:t xml:space="preserve">if </w:t>
      </w:r>
      <w:r w:rsidR="00981DF8" w:rsidRPr="007725D7">
        <w:rPr>
          <w:rFonts w:ascii="Arial" w:hAnsi="Arial" w:cs="Arial"/>
        </w:rPr>
        <w:t xml:space="preserve">a </w:t>
      </w:r>
      <w:proofErr w:type="gramStart"/>
      <w:r w:rsidR="00981DF8" w:rsidRPr="007725D7">
        <w:rPr>
          <w:rFonts w:ascii="Arial" w:hAnsi="Arial" w:cs="Arial"/>
        </w:rPr>
        <w:t>particular</w:t>
      </w:r>
      <w:r w:rsidR="00F44B7B" w:rsidRPr="007725D7">
        <w:rPr>
          <w:rFonts w:ascii="Arial" w:hAnsi="Arial" w:cs="Arial"/>
        </w:rPr>
        <w:t xml:space="preserve"> technology</w:t>
      </w:r>
      <w:proofErr w:type="gramEnd"/>
      <w:r w:rsidR="00B014BB" w:rsidRPr="007725D7">
        <w:rPr>
          <w:rFonts w:ascii="Arial" w:hAnsi="Arial" w:cs="Arial"/>
        </w:rPr>
        <w:t xml:space="preserve">, e.g., 802.11ax, </w:t>
      </w:r>
      <w:r w:rsidR="00F44B7B" w:rsidRPr="007725D7">
        <w:rPr>
          <w:rFonts w:ascii="Arial" w:hAnsi="Arial" w:cs="Arial"/>
        </w:rPr>
        <w:t xml:space="preserve">prefers to use </w:t>
      </w:r>
      <w:r w:rsidR="00242AD3" w:rsidRPr="007725D7">
        <w:rPr>
          <w:rFonts w:ascii="Arial" w:hAnsi="Arial" w:cs="Arial"/>
        </w:rPr>
        <w:t xml:space="preserve">preambles to </w:t>
      </w:r>
      <w:r w:rsidR="00F44B7B" w:rsidRPr="007725D7">
        <w:rPr>
          <w:rFonts w:ascii="Arial" w:hAnsi="Arial" w:cs="Arial"/>
        </w:rPr>
        <w:t xml:space="preserve">detect nodes </w:t>
      </w:r>
      <w:r w:rsidR="00981DF8" w:rsidRPr="007725D7">
        <w:rPr>
          <w:rFonts w:ascii="Arial" w:hAnsi="Arial" w:cs="Arial"/>
        </w:rPr>
        <w:t>of</w:t>
      </w:r>
      <w:r w:rsidR="00F44B7B" w:rsidRPr="007725D7">
        <w:rPr>
          <w:rFonts w:ascii="Arial" w:hAnsi="Arial" w:cs="Arial"/>
        </w:rPr>
        <w:t xml:space="preserve"> the same technology, </w:t>
      </w:r>
      <w:r w:rsidR="00981DF8" w:rsidRPr="007725D7">
        <w:rPr>
          <w:rFonts w:ascii="Arial" w:hAnsi="Arial" w:cs="Arial"/>
        </w:rPr>
        <w:t>this may still be</w:t>
      </w:r>
      <w:r w:rsidR="00F44B7B" w:rsidRPr="007725D7">
        <w:rPr>
          <w:rFonts w:ascii="Arial" w:hAnsi="Arial" w:cs="Arial"/>
        </w:rPr>
        <w:t xml:space="preserve"> done as a technology choice</w:t>
      </w:r>
      <w:r w:rsidR="00981DF8" w:rsidRPr="007725D7">
        <w:rPr>
          <w:rFonts w:ascii="Arial" w:hAnsi="Arial" w:cs="Arial"/>
        </w:rPr>
        <w:t xml:space="preserve">. In this case, </w:t>
      </w:r>
      <w:r w:rsidR="00F44B7B" w:rsidRPr="007725D7">
        <w:rPr>
          <w:rFonts w:ascii="Arial" w:hAnsi="Arial" w:cs="Arial"/>
        </w:rPr>
        <w:t xml:space="preserve">the </w:t>
      </w:r>
      <w:r w:rsidR="00242AD3" w:rsidRPr="007725D7">
        <w:rPr>
          <w:rFonts w:ascii="Arial" w:hAnsi="Arial" w:cs="Arial"/>
        </w:rPr>
        <w:t xml:space="preserve">node may defer to other nodes transmitting preambles </w:t>
      </w:r>
      <w:r w:rsidR="00F44B7B" w:rsidRPr="007725D7">
        <w:rPr>
          <w:rFonts w:ascii="Arial" w:hAnsi="Arial" w:cs="Arial"/>
        </w:rPr>
        <w:t xml:space="preserve">at the same level as the common ED level or at a lower level. </w:t>
      </w:r>
      <w:r>
        <w:rPr>
          <w:rFonts w:ascii="Arial" w:hAnsi="Arial" w:cs="Arial"/>
        </w:rPr>
        <w:t>If it chooses to do so at the same level as the common ED threshold</w:t>
      </w:r>
      <w:r w:rsidR="00311AF1">
        <w:rPr>
          <w:rFonts w:ascii="Arial" w:hAnsi="Arial" w:cs="Arial"/>
        </w:rPr>
        <w:t xml:space="preserve">, there is no impact to coexistence. </w:t>
      </w:r>
      <w:r>
        <w:rPr>
          <w:rFonts w:ascii="Arial" w:hAnsi="Arial" w:cs="Arial"/>
        </w:rPr>
        <w:t>Alternately, the node may also choose to defer to other nodes</w:t>
      </w:r>
      <w:r w:rsidR="00311AF1">
        <w:rPr>
          <w:rFonts w:ascii="Arial" w:hAnsi="Arial" w:cs="Arial"/>
        </w:rPr>
        <w:t xml:space="preserve"> of the same technology</w:t>
      </w:r>
      <w:r>
        <w:rPr>
          <w:rFonts w:ascii="Arial" w:hAnsi="Arial" w:cs="Arial"/>
        </w:rPr>
        <w:t xml:space="preserve"> transmitting preambles at a threshold lower than the common ED threshold if there is some performance benefit seen in a </w:t>
      </w:r>
      <w:proofErr w:type="gramStart"/>
      <w:r>
        <w:rPr>
          <w:rFonts w:ascii="Arial" w:hAnsi="Arial" w:cs="Arial"/>
        </w:rPr>
        <w:t>particular deployment</w:t>
      </w:r>
      <w:proofErr w:type="gramEnd"/>
      <w:r>
        <w:rPr>
          <w:rFonts w:ascii="Arial" w:hAnsi="Arial" w:cs="Arial"/>
        </w:rPr>
        <w:t xml:space="preserve">. </w:t>
      </w:r>
      <w:r w:rsidR="00981DF8" w:rsidRPr="007725D7">
        <w:rPr>
          <w:rFonts w:ascii="Arial" w:hAnsi="Arial" w:cs="Arial"/>
        </w:rPr>
        <w:t>In other words</w:t>
      </w:r>
      <w:r w:rsidR="00242AD3" w:rsidRPr="007725D7">
        <w:rPr>
          <w:rFonts w:ascii="Arial" w:hAnsi="Arial" w:cs="Arial"/>
        </w:rPr>
        <w:t xml:space="preserve">, the use of preambles is not precluded </w:t>
      </w:r>
      <w:proofErr w:type="gramStart"/>
      <w:r w:rsidR="00242AD3" w:rsidRPr="007725D7">
        <w:rPr>
          <w:rFonts w:ascii="Arial" w:hAnsi="Arial" w:cs="Arial"/>
        </w:rPr>
        <w:t>by the use of</w:t>
      </w:r>
      <w:proofErr w:type="gramEnd"/>
      <w:r w:rsidR="00242AD3" w:rsidRPr="007725D7">
        <w:rPr>
          <w:rFonts w:ascii="Arial" w:hAnsi="Arial" w:cs="Arial"/>
        </w:rPr>
        <w:t xml:space="preserve"> a </w:t>
      </w:r>
      <w:r w:rsidR="00981DF8" w:rsidRPr="007725D7">
        <w:rPr>
          <w:rFonts w:ascii="Arial" w:hAnsi="Arial" w:cs="Arial"/>
        </w:rPr>
        <w:t>harmonized</w:t>
      </w:r>
      <w:r w:rsidR="00242AD3" w:rsidRPr="007725D7">
        <w:rPr>
          <w:rFonts w:ascii="Arial" w:hAnsi="Arial" w:cs="Arial"/>
        </w:rPr>
        <w:t xml:space="preserve"> ED threshold.</w:t>
      </w:r>
      <w:r w:rsidR="00981DF8" w:rsidRPr="007725D7">
        <w:rPr>
          <w:rFonts w:ascii="Arial" w:hAnsi="Arial" w:cs="Arial"/>
        </w:rPr>
        <w:t xml:space="preserve"> </w:t>
      </w:r>
    </w:p>
    <w:p w14:paraId="4A76ED46" w14:textId="66396459" w:rsidR="00826A8D" w:rsidRPr="00C20C9E" w:rsidRDefault="00826A8D" w:rsidP="0093476D">
      <w:pPr>
        <w:pStyle w:val="Observation"/>
      </w:pPr>
      <w:bookmarkStart w:id="8" w:name="_Toc528932410"/>
      <w:bookmarkStart w:id="9" w:name="_Toc531115492"/>
      <w:bookmarkStart w:id="10" w:name="_Toc531115621"/>
      <w:bookmarkStart w:id="11" w:name="_Toc531115628"/>
      <w:bookmarkStart w:id="12" w:name="_Toc531115669"/>
      <w:bookmarkStart w:id="13" w:name="_Toc531296362"/>
      <w:bookmarkStart w:id="14" w:name="_Toc531610955"/>
      <w:bookmarkStart w:id="15" w:name="_Toc3190485"/>
      <w:bookmarkStart w:id="16" w:name="_Toc3196644"/>
      <w:bookmarkStart w:id="17" w:name="_Toc3196748"/>
      <w:bookmarkStart w:id="18" w:name="_Toc3200294"/>
      <w:bookmarkStart w:id="19" w:name="_Toc3204892"/>
      <w:bookmarkEnd w:id="7"/>
      <w:r>
        <w:t>Technology neutral channel access based on the use of</w:t>
      </w:r>
      <w:r w:rsidRPr="00C20C9E">
        <w:t xml:space="preserve"> a </w:t>
      </w:r>
      <w:r>
        <w:t>harmonized</w:t>
      </w:r>
      <w:r w:rsidRPr="00C20C9E">
        <w:t xml:space="preserve"> ED threshold is a key aspect for </w:t>
      </w:r>
      <w:r>
        <w:t>good</w:t>
      </w:r>
      <w:r w:rsidRPr="00C20C9E">
        <w:t xml:space="preserve"> coexistence</w:t>
      </w:r>
      <w:bookmarkEnd w:id="8"/>
      <w:r>
        <w:t xml:space="preserve"> amongst technologies operating in the 6 GHz band.</w:t>
      </w:r>
      <w:bookmarkStart w:id="20" w:name="_Toc528932411"/>
      <w:bookmarkStart w:id="21" w:name="_Toc531115483"/>
      <w:bookmarkStart w:id="22" w:name="_Toc531115580"/>
      <w:bookmarkEnd w:id="9"/>
      <w:bookmarkEnd w:id="10"/>
      <w:bookmarkEnd w:id="11"/>
      <w:r w:rsidR="0093476D">
        <w:t xml:space="preserve"> </w:t>
      </w:r>
      <w:r w:rsidRPr="00C20C9E">
        <w:t xml:space="preserve">A </w:t>
      </w:r>
      <w:proofErr w:type="gramStart"/>
      <w:r>
        <w:t xml:space="preserve">particular </w:t>
      </w:r>
      <w:r w:rsidRPr="00C20C9E">
        <w:t>technology</w:t>
      </w:r>
      <w:proofErr w:type="gramEnd"/>
      <w:r w:rsidRPr="00C20C9E">
        <w:t xml:space="preserve"> may still use a</w:t>
      </w:r>
      <w:r>
        <w:t xml:space="preserve"> technology-specific</w:t>
      </w:r>
      <w:r w:rsidRPr="00C20C9E">
        <w:t xml:space="preserve"> preamble </w:t>
      </w:r>
      <w:r>
        <w:t xml:space="preserve">for </w:t>
      </w:r>
      <w:r w:rsidRPr="00C20C9E">
        <w:t xml:space="preserve">detection at a threshold </w:t>
      </w:r>
      <w:r w:rsidR="00242AD3">
        <w:t xml:space="preserve">at or </w:t>
      </w:r>
      <w:r w:rsidRPr="00C20C9E">
        <w:t xml:space="preserve">lower than the </w:t>
      </w:r>
      <w:r>
        <w:t>harmonized</w:t>
      </w:r>
      <w:r w:rsidRPr="00C20C9E">
        <w:t xml:space="preserve"> ED threshold.</w:t>
      </w:r>
      <w:bookmarkEnd w:id="12"/>
      <w:bookmarkEnd w:id="13"/>
      <w:bookmarkEnd w:id="14"/>
      <w:bookmarkEnd w:id="15"/>
      <w:bookmarkEnd w:id="16"/>
      <w:bookmarkEnd w:id="17"/>
      <w:bookmarkEnd w:id="18"/>
      <w:bookmarkEnd w:id="19"/>
      <w:bookmarkEnd w:id="20"/>
      <w:bookmarkEnd w:id="21"/>
      <w:bookmarkEnd w:id="22"/>
    </w:p>
    <w:p w14:paraId="14DC8056" w14:textId="32690B73" w:rsidR="00286704" w:rsidRDefault="00286704" w:rsidP="006E52F0">
      <w:r>
        <w:t xml:space="preserve">The use of a single common ED threshold by different technologies has been discussed in the past. It was </w:t>
      </w:r>
      <w:r w:rsidR="00E92CE2">
        <w:t>discussed during the development of the harmonized standard in ETSI BRAN where an ED threshold of -72 dBm was required and an exception was provided to IEEE technologies to be able to use a dual threshold for preamble and energy detection. As part of the discussions</w:t>
      </w:r>
      <w:r w:rsidR="00A75D1D">
        <w:t>,</w:t>
      </w:r>
      <w:r w:rsidR="00E92CE2">
        <w:t xml:space="preserve"> a compromise was reached in ETSI BRAN </w:t>
      </w:r>
      <w:r w:rsidR="00E92CE2">
        <w:fldChar w:fldCharType="begin"/>
      </w:r>
      <w:r w:rsidR="00E92CE2">
        <w:instrText xml:space="preserve"> REF _Ref531192600 \r \h </w:instrText>
      </w:r>
      <w:r w:rsidR="00E92CE2">
        <w:fldChar w:fldCharType="separate"/>
      </w:r>
      <w:r w:rsidR="007D6FF5">
        <w:t>[4]</w:t>
      </w:r>
      <w:r w:rsidR="00E92CE2">
        <w:fldChar w:fldCharType="end"/>
      </w:r>
      <w:r w:rsidR="00E92CE2">
        <w:t xml:space="preserve"> to remove this exception as part of the next revision of the standard which would then have required all technologies to use a common ED threshold. </w:t>
      </w:r>
      <w:bookmarkStart w:id="23" w:name="_Hlk531278731"/>
      <w:r w:rsidR="00E92CE2">
        <w:t xml:space="preserve">A liaison statement was also sent to the IEEE </w:t>
      </w:r>
      <w:r w:rsidR="005662B8">
        <w:fldChar w:fldCharType="begin"/>
      </w:r>
      <w:r w:rsidR="005662B8">
        <w:instrText xml:space="preserve"> REF _Ref531193059 \r \h </w:instrText>
      </w:r>
      <w:r w:rsidR="005662B8">
        <w:fldChar w:fldCharType="separate"/>
      </w:r>
      <w:r w:rsidR="007D6FF5">
        <w:t>[5]</w:t>
      </w:r>
      <w:r w:rsidR="005662B8">
        <w:fldChar w:fldCharType="end"/>
      </w:r>
      <w:r w:rsidR="008348DD">
        <w:t xml:space="preserve"> with the following request</w:t>
      </w:r>
      <w:r w:rsidR="005662B8">
        <w:t>:</w:t>
      </w:r>
    </w:p>
    <w:p w14:paraId="433B8239" w14:textId="7F314D27" w:rsidR="00E92CE2" w:rsidRDefault="00E92CE2" w:rsidP="00A75D1D">
      <w:pPr>
        <w:ind w:left="567"/>
      </w:pPr>
      <w:r>
        <w:rPr>
          <w:rFonts w:cs="Arial"/>
        </w:rPr>
        <w:t>“</w:t>
      </w:r>
      <w:r w:rsidRPr="00A75D1D">
        <w:rPr>
          <w:rFonts w:cs="Arial"/>
          <w:i/>
        </w:rPr>
        <w:t xml:space="preserve">RAN1 respectfully requests future IEEE 802.11 technologies </w:t>
      </w:r>
      <w:bookmarkStart w:id="24" w:name="_Hlk3203576"/>
      <w:r w:rsidRPr="00A75D1D">
        <w:rPr>
          <w:rFonts w:cs="Arial"/>
          <w:i/>
        </w:rPr>
        <w:t>to align the energy detection threshold used with other technologies operating in the same unlicensed band</w:t>
      </w:r>
      <w:bookmarkEnd w:id="24"/>
      <w:r w:rsidRPr="00A75D1D">
        <w:rPr>
          <w:rFonts w:cs="Arial"/>
          <w:i/>
        </w:rPr>
        <w:t>, e.g., -72 dBm. An energy detection threshold of -72 dBm has been chosen by 3GPP for Rel-13 LAA also with an interest in aligning with other technologies in the future.</w:t>
      </w:r>
      <w:r>
        <w:rPr>
          <w:rFonts w:cs="Arial"/>
        </w:rPr>
        <w:t>”</w:t>
      </w:r>
    </w:p>
    <w:p w14:paraId="3E743EA3" w14:textId="2949672F" w:rsidR="005662B8" w:rsidRDefault="008348DD" w:rsidP="006E52F0">
      <w:r>
        <w:t xml:space="preserve">The IEEE duly considered the request and declined to reduce the ED threshold for IEEE 802.11ax </w:t>
      </w:r>
      <w:r>
        <w:fldChar w:fldCharType="begin"/>
      </w:r>
      <w:r>
        <w:instrText xml:space="preserve"> REF _Ref531193923 \r \h </w:instrText>
      </w:r>
      <w:r>
        <w:fldChar w:fldCharType="separate"/>
      </w:r>
      <w:r w:rsidR="007D6FF5">
        <w:t>[6]</w:t>
      </w:r>
      <w:r>
        <w:fldChar w:fldCharType="end"/>
      </w:r>
      <w:r>
        <w:t xml:space="preserve"> due to concerns on coexistence with already deployed 802.11 devices. The reasoning was explained as follows in </w:t>
      </w:r>
      <w:r>
        <w:fldChar w:fldCharType="begin"/>
      </w:r>
      <w:r>
        <w:instrText xml:space="preserve"> REF _Ref531194234 \r \h </w:instrText>
      </w:r>
      <w:r>
        <w:fldChar w:fldCharType="separate"/>
      </w:r>
      <w:r w:rsidR="007D6FF5">
        <w:t>[7]</w:t>
      </w:r>
      <w:r>
        <w:fldChar w:fldCharType="end"/>
      </w:r>
      <w:r w:rsidR="00A36CF9">
        <w:t>:</w:t>
      </w:r>
    </w:p>
    <w:p w14:paraId="01B8C0B7" w14:textId="2D7D14DE" w:rsidR="008348DD" w:rsidRDefault="008348DD" w:rsidP="00A75D1D">
      <w:pPr>
        <w:ind w:left="567"/>
      </w:pPr>
      <w:r>
        <w:t>“</w:t>
      </w:r>
      <w:r w:rsidRPr="00A75D1D">
        <w:rPr>
          <w:i/>
        </w:rPr>
        <w:t>IEEE 802 declined 3GPP RAN1’s request because it would put 802.11ax systems at a disadvantage compared to billions of existing and future 802.11a/n/ac systems using an ED threshold of -62 dBm and at a disadvantage to any LAA systems not detecting 802.11 preambles at -82 dBm.</w:t>
      </w:r>
      <w:r>
        <w:t>”</w:t>
      </w:r>
    </w:p>
    <w:p w14:paraId="72476A0E" w14:textId="0FD97104" w:rsidR="008348DD" w:rsidRDefault="00A36CF9" w:rsidP="006E52F0">
      <w:r>
        <w:t>As can be seen from the above, the primary obstacle to adoption of the best technical solution, i.e., a common single threshold for all technologies, has been the presence of deployed devices in 5 GHz</w:t>
      </w:r>
      <w:r w:rsidR="00D40A02">
        <w:t xml:space="preserve"> and considerations of coexistence and backward compatibility with these devices</w:t>
      </w:r>
      <w:r>
        <w:t xml:space="preserve">. The greenfield spectrum in 6 GHz does not have any of these problems and provides an excellent opportunity for adoption of a regime that is beneficial to all. </w:t>
      </w:r>
      <w:bookmarkEnd w:id="23"/>
      <w:r w:rsidR="00B014BB">
        <w:t xml:space="preserve">Once again, we point out that even with a harmonized ED threshold, if a </w:t>
      </w:r>
      <w:proofErr w:type="gramStart"/>
      <w:r w:rsidR="00B014BB">
        <w:t>particular technology</w:t>
      </w:r>
      <w:proofErr w:type="gramEnd"/>
      <w:r w:rsidR="00B014BB">
        <w:t xml:space="preserve">, e.g., 802.11ax, prefers to use preambles to detect nodes of the same technology, this may still be done as a technology choice. In this case, the node may defer to other nodes </w:t>
      </w:r>
      <w:r w:rsidR="00A236A0">
        <w:t xml:space="preserve">of the same technology </w:t>
      </w:r>
      <w:r w:rsidR="00B014BB">
        <w:t>transmitting preambles at the same level as the common ED level or at a lower level.</w:t>
      </w:r>
      <w:r>
        <w:t xml:space="preserve"> </w:t>
      </w:r>
    </w:p>
    <w:p w14:paraId="111FE09E" w14:textId="3BB5649F" w:rsidR="00772E4B" w:rsidRDefault="00772E4B" w:rsidP="006E52F0">
      <w:r>
        <w:lastRenderedPageBreak/>
        <w:t>As discussed in the previous section, the IEEE has invited 3GPP to a workshop to discuss coexistence issues primarily targeting 6 GHz spectrum. I</w:t>
      </w:r>
      <w:r w:rsidR="00062D64">
        <w:t>t is expected that many issues on which 3GPP has received requests from IEEE since the last coexistence workshop in August 2015 will be presented by the IEEE for discussion at the workshop. It is therefore important that requests made by 3GPP to the IEEE at the same time, such as the harmonized ED threshold for future IEEE technologies including IEEE 802.11ax, be presented by 3GPP as well.</w:t>
      </w:r>
    </w:p>
    <w:p w14:paraId="525E1020" w14:textId="4A29535B" w:rsidR="00332F9D" w:rsidRDefault="00332F9D" w:rsidP="006E52F0">
      <w:r>
        <w:t>Based on th</w:t>
      </w:r>
      <w:r w:rsidR="00A36CF9">
        <w:t>e above discussion,</w:t>
      </w:r>
      <w:r>
        <w:t xml:space="preserve"> we propose </w:t>
      </w:r>
      <w:r w:rsidR="0093476D">
        <w:t xml:space="preserve">suggesting joint-consideration of </w:t>
      </w:r>
      <w:r>
        <w:t>a</w:t>
      </w:r>
      <w:r w:rsidR="0093476D">
        <w:t xml:space="preserve"> harmonized</w:t>
      </w:r>
      <w:r>
        <w:t xml:space="preserve"> ED threshold </w:t>
      </w:r>
      <w:r w:rsidR="0093476D">
        <w:t xml:space="preserve">between 3GPP technologies (NR-U and LTE-LAA) and </w:t>
      </w:r>
      <w:r>
        <w:t>IEEE technologies (e.g., 802.11ax) operating in the 6 G</w:t>
      </w:r>
      <w:r w:rsidR="008348DD">
        <w:t>H</w:t>
      </w:r>
      <w:r>
        <w:t>z band</w:t>
      </w:r>
      <w:r w:rsidR="003E1B3D">
        <w:t xml:space="preserve"> as part of 3GPP’s input to the coexistence workshop organized by the IEEE</w:t>
      </w:r>
      <w:r w:rsidR="00D65F58">
        <w:t xml:space="preserve">. Such input is necessary </w:t>
      </w:r>
      <w:r w:rsidR="003E1B3D">
        <w:t xml:space="preserve"> to appropriately represent discussions that have occurred in 3GPP on coexistence aspects</w:t>
      </w:r>
      <w:r w:rsidR="00754241">
        <w:t xml:space="preserve"> as well as requests to the IEEE resulting from those discussions</w:t>
      </w:r>
      <w:r>
        <w:t>.</w:t>
      </w:r>
    </w:p>
    <w:p w14:paraId="7A8B3AE1" w14:textId="479CA59E" w:rsidR="00332F9D" w:rsidRDefault="008B6679" w:rsidP="0093476D">
      <w:pPr>
        <w:pStyle w:val="Proposal"/>
        <w:tabs>
          <w:tab w:val="clear" w:pos="1304"/>
        </w:tabs>
        <w:ind w:left="1701" w:hanging="1701"/>
      </w:pPr>
      <w:bookmarkStart w:id="25" w:name="_Toc531115485"/>
      <w:bookmarkStart w:id="26" w:name="_Toc531115582"/>
      <w:bookmarkStart w:id="27" w:name="_Toc531115673"/>
      <w:bookmarkStart w:id="28" w:name="_Toc531296366"/>
      <w:bookmarkStart w:id="29" w:name="_Toc531296488"/>
      <w:bookmarkStart w:id="30" w:name="_Toc531610958"/>
      <w:bookmarkStart w:id="31" w:name="_Toc3190486"/>
      <w:bookmarkStart w:id="32" w:name="_Toc3196646"/>
      <w:bookmarkStart w:id="33" w:name="_Toc3196750"/>
      <w:bookmarkStart w:id="34" w:name="_Toc3200197"/>
      <w:bookmarkStart w:id="35" w:name="_Toc3200296"/>
      <w:bookmarkStart w:id="36" w:name="_Toc3201133"/>
      <w:bookmarkStart w:id="37" w:name="_Toc3204895"/>
      <w:r>
        <w:t>Part</w:t>
      </w:r>
      <w:r w:rsidR="003E1B3D">
        <w:t xml:space="preserve"> of the 3GPP input to the workshop on coexistence </w:t>
      </w:r>
      <w:r w:rsidR="0049176F">
        <w:t>for 6 GHz spectrum organized by the IEEE</w:t>
      </w:r>
      <w:r w:rsidR="00296110">
        <w:t xml:space="preserve"> </w:t>
      </w:r>
      <w:r w:rsidR="0049176F">
        <w:t xml:space="preserve">should include a request for </w:t>
      </w:r>
      <w:r w:rsidR="0093476D">
        <w:t>joint-</w:t>
      </w:r>
      <w:r w:rsidR="00332F9D">
        <w:t xml:space="preserve">consideration of a harmonized </w:t>
      </w:r>
      <w:r w:rsidR="0049176F">
        <w:t xml:space="preserve">single common maximum </w:t>
      </w:r>
      <w:r w:rsidR="00332F9D">
        <w:t>ED threshold between</w:t>
      </w:r>
      <w:r w:rsidR="0093476D">
        <w:t xml:space="preserve"> 3GPP technologies (NR-U and LTE-LAA) and IEEE technologies (e.g., 802.11ax) operating in the 6 GHz band</w:t>
      </w:r>
      <w:r w:rsidR="00957DE0">
        <w:t xml:space="preserve"> (Such a request was already made by RAN1 in a liaison statement for 5 GHz</w:t>
      </w:r>
      <w:r w:rsidR="00C125FF">
        <w:t>. The reasons for not considering the request at the time do not apply to 6 GHz</w:t>
      </w:r>
      <w:r w:rsidR="00957DE0">
        <w:t>)</w:t>
      </w:r>
      <w:r w:rsidR="0093476D">
        <w:t>.</w:t>
      </w:r>
      <w:bookmarkEnd w:id="25"/>
      <w:bookmarkEnd w:id="26"/>
      <w:bookmarkEnd w:id="27"/>
      <w:bookmarkEnd w:id="28"/>
      <w:bookmarkEnd w:id="29"/>
      <w:bookmarkEnd w:id="30"/>
      <w:bookmarkEnd w:id="31"/>
      <w:bookmarkEnd w:id="32"/>
      <w:bookmarkEnd w:id="33"/>
      <w:bookmarkEnd w:id="34"/>
      <w:bookmarkEnd w:id="35"/>
      <w:bookmarkEnd w:id="36"/>
      <w:bookmarkEnd w:id="37"/>
    </w:p>
    <w:p w14:paraId="1A7B9CE6" w14:textId="1EE213ED" w:rsidR="00AD2FCF" w:rsidRDefault="00AD2FCF">
      <w:pPr>
        <w:overflowPunct/>
        <w:autoSpaceDE/>
        <w:autoSpaceDN/>
        <w:adjustRightInd/>
        <w:spacing w:after="0"/>
        <w:jc w:val="left"/>
        <w:textAlignment w:val="auto"/>
      </w:pPr>
      <w:r>
        <w:t xml:space="preserve">The WID for the NR-U work item </w:t>
      </w:r>
      <w:r w:rsidR="00BF496C">
        <w:fldChar w:fldCharType="begin"/>
      </w:r>
      <w:r w:rsidR="00BF496C">
        <w:instrText xml:space="preserve"> REF _Ref3201034 \r \h </w:instrText>
      </w:r>
      <w:r w:rsidR="00BF496C">
        <w:fldChar w:fldCharType="separate"/>
      </w:r>
      <w:r w:rsidR="007D6FF5">
        <w:t>[8]</w:t>
      </w:r>
      <w:r w:rsidR="00BF496C">
        <w:fldChar w:fldCharType="end"/>
      </w:r>
      <w:r w:rsidR="00BF496C">
        <w:t xml:space="preserve"> </w:t>
      </w:r>
      <w:r>
        <w:t>states the following:</w:t>
      </w:r>
    </w:p>
    <w:p w14:paraId="6FAEDE57" w14:textId="77777777" w:rsidR="00AD2FCF" w:rsidRDefault="00AD2FCF">
      <w:pPr>
        <w:overflowPunct/>
        <w:autoSpaceDE/>
        <w:autoSpaceDN/>
        <w:adjustRightInd/>
        <w:spacing w:after="0"/>
        <w:jc w:val="left"/>
        <w:textAlignment w:val="auto"/>
      </w:pPr>
    </w:p>
    <w:p w14:paraId="2294980F" w14:textId="77777777" w:rsidR="00AD2FCF" w:rsidRPr="00915B81" w:rsidRDefault="00AD2FCF" w:rsidP="00915B81">
      <w:pPr>
        <w:ind w:left="567"/>
        <w:rPr>
          <w:i/>
        </w:rPr>
      </w:pPr>
      <w:r w:rsidRPr="00915B81">
        <w:rPr>
          <w:i/>
        </w:rPr>
        <w:t>In the 6 GHz band, the channel access mechanism for NR-U will use, at least, energy detection as part of the coexistence mechanism for enabling coexistence amongst RATs including at least NR-U, [LTE-LAA], and Wi-Fi. Extensions are to be discussed in line with the framework o</w:t>
      </w:r>
      <w:bookmarkStart w:id="38" w:name="_GoBack"/>
      <w:bookmarkEnd w:id="38"/>
      <w:r w:rsidRPr="00915B81">
        <w:rPr>
          <w:i/>
        </w:rPr>
        <w:t xml:space="preserve">n channel access as captured in the TR 38.889, Section 7.2.1.2 (i.e., </w:t>
      </w:r>
      <w:proofErr w:type="spellStart"/>
      <w:r w:rsidRPr="00915B81">
        <w:rPr>
          <w:i/>
        </w:rPr>
        <w:t>WiFi</w:t>
      </w:r>
      <w:proofErr w:type="spellEnd"/>
      <w:r w:rsidRPr="00915B81">
        <w:rPr>
          <w:i/>
        </w:rPr>
        <w:t xml:space="preserve"> 11a/11ax preamble, existing NR signal with potential enhancements, existing NR channel with potential enhancements) and, if agreed, the corresponding 3GPP specification impact, if any, should be addressed. </w:t>
      </w:r>
    </w:p>
    <w:p w14:paraId="399A3305" w14:textId="16EF88B5" w:rsidR="00AD2FCF" w:rsidRPr="00915B81" w:rsidRDefault="00AD2FCF" w:rsidP="00915B81">
      <w:pPr>
        <w:ind w:left="567"/>
        <w:rPr>
          <w:i/>
        </w:rPr>
      </w:pPr>
      <w:r w:rsidRPr="00915B81">
        <w:rPr>
          <w:i/>
        </w:rPr>
        <w:t xml:space="preserve">If extensions for 6 GHz are agreed, their applicability for 5GHz is to be discussed. </w:t>
      </w:r>
    </w:p>
    <w:p w14:paraId="6BA409CD" w14:textId="77777777" w:rsidR="00AD2FCF" w:rsidRPr="006736A9" w:rsidRDefault="00AD2FCF" w:rsidP="00915B81">
      <w:pPr>
        <w:ind w:left="567"/>
      </w:pPr>
      <w:r w:rsidRPr="00915B81">
        <w:rPr>
          <w:i/>
        </w:rPr>
        <w:t>Conclusions on the extensions, if any, is targeted for RAN#83.</w:t>
      </w:r>
      <w:r w:rsidRPr="006736A9">
        <w:t xml:space="preserve"> </w:t>
      </w:r>
    </w:p>
    <w:p w14:paraId="2DA50765" w14:textId="77777777" w:rsidR="002E7E8C" w:rsidRDefault="002E7E8C">
      <w:pPr>
        <w:overflowPunct/>
        <w:autoSpaceDE/>
        <w:autoSpaceDN/>
        <w:adjustRightInd/>
        <w:spacing w:after="0"/>
        <w:jc w:val="left"/>
        <w:textAlignment w:val="auto"/>
      </w:pPr>
    </w:p>
    <w:p w14:paraId="2F31998C" w14:textId="33ACE557" w:rsidR="00BA2E17" w:rsidRDefault="002D0681">
      <w:pPr>
        <w:overflowPunct/>
        <w:autoSpaceDE/>
        <w:autoSpaceDN/>
        <w:adjustRightInd/>
        <w:spacing w:after="0"/>
        <w:jc w:val="left"/>
        <w:textAlignment w:val="auto"/>
      </w:pPr>
      <w:r>
        <w:t xml:space="preserve">As </w:t>
      </w:r>
      <w:r w:rsidR="005C52CB">
        <w:t xml:space="preserve">concluded in </w:t>
      </w:r>
      <w:r w:rsidR="00BA2E17">
        <w:t xml:space="preserve">RAN1#96 </w:t>
      </w:r>
      <w:r w:rsidR="005C52CB">
        <w:fldChar w:fldCharType="begin"/>
      </w:r>
      <w:r w:rsidR="005C52CB">
        <w:instrText xml:space="preserve"> REF _Ref3200724 \r \h </w:instrText>
      </w:r>
      <w:r w:rsidR="005C52CB">
        <w:fldChar w:fldCharType="separate"/>
      </w:r>
      <w:r w:rsidR="007D6FF5">
        <w:t>[9]</w:t>
      </w:r>
      <w:r w:rsidR="005C52CB">
        <w:fldChar w:fldCharType="end"/>
      </w:r>
      <w:r w:rsidR="00BA2E17">
        <w:t xml:space="preserve">, there is no consensus on </w:t>
      </w:r>
      <w:r w:rsidR="00FD4BA4">
        <w:t>extensions to energy detection</w:t>
      </w:r>
      <w:r w:rsidR="00744FC7">
        <w:t xml:space="preserve">-based channel access through </w:t>
      </w:r>
      <w:r w:rsidR="00BA2E17">
        <w:t>adoption of a preamble</w:t>
      </w:r>
      <w:r w:rsidR="0073224A">
        <w:t xml:space="preserve"> for coexistence</w:t>
      </w:r>
      <w:r w:rsidR="008B480A">
        <w:t>. Based on this as well as extensive discussions during the study item</w:t>
      </w:r>
      <w:r w:rsidR="00DD37AB">
        <w:t xml:space="preserve"> which resulted in </w:t>
      </w:r>
      <w:r w:rsidR="001C79DE">
        <w:t xml:space="preserve">no </w:t>
      </w:r>
      <w:r w:rsidR="008B480A">
        <w:t xml:space="preserve">consensus, </w:t>
      </w:r>
      <w:r w:rsidR="007D6FF5">
        <w:t xml:space="preserve">we observe </w:t>
      </w:r>
      <w:r w:rsidR="008B480A">
        <w:t>the following:</w:t>
      </w:r>
    </w:p>
    <w:p w14:paraId="555C994C" w14:textId="5C71D525" w:rsidR="008B480A" w:rsidRDefault="008B480A">
      <w:pPr>
        <w:overflowPunct/>
        <w:autoSpaceDE/>
        <w:autoSpaceDN/>
        <w:adjustRightInd/>
        <w:spacing w:after="0"/>
        <w:jc w:val="left"/>
        <w:textAlignment w:val="auto"/>
      </w:pPr>
    </w:p>
    <w:p w14:paraId="0E1CEFC8" w14:textId="5E903D85" w:rsidR="0085736D" w:rsidRDefault="007D6FF5" w:rsidP="0094159A">
      <w:pPr>
        <w:pStyle w:val="Observation"/>
      </w:pPr>
      <w:bookmarkStart w:id="39" w:name="_Toc3201134"/>
      <w:bookmarkStart w:id="40" w:name="_Toc3204893"/>
      <w:r>
        <w:t xml:space="preserve">Further consideration of </w:t>
      </w:r>
      <w:r w:rsidR="00915B81">
        <w:t>extension</w:t>
      </w:r>
      <w:r w:rsidR="007F0B74">
        <w:t>s to energy detection-based channel</w:t>
      </w:r>
      <w:r w:rsidR="00C90AC6">
        <w:t xml:space="preserve"> access mechanism</w:t>
      </w:r>
      <w:r>
        <w:t>s</w:t>
      </w:r>
      <w:r w:rsidR="001C79DE">
        <w:t xml:space="preserve"> for NR-U</w:t>
      </w:r>
      <w:r w:rsidR="00C90AC6">
        <w:t xml:space="preserve"> </w:t>
      </w:r>
      <w:r w:rsidR="003B4C0F">
        <w:t xml:space="preserve">through adoption of a preamble </w:t>
      </w:r>
      <w:r>
        <w:t>are not necessary</w:t>
      </w:r>
      <w:r w:rsidR="00134EA7">
        <w:t xml:space="preserve"> for </w:t>
      </w:r>
      <w:r w:rsidR="001C79DE">
        <w:t xml:space="preserve">both </w:t>
      </w:r>
      <w:r w:rsidR="00134EA7">
        <w:t>6 GHz and 5 GHz</w:t>
      </w:r>
      <w:r w:rsidR="001C79DE">
        <w:t>.</w:t>
      </w:r>
      <w:bookmarkEnd w:id="39"/>
      <w:bookmarkEnd w:id="40"/>
    </w:p>
    <w:p w14:paraId="41EB6CF5" w14:textId="775D9D2B" w:rsidR="009705A9" w:rsidRDefault="00C01F33" w:rsidP="008E065E">
      <w:pPr>
        <w:pStyle w:val="Heading1"/>
      </w:pPr>
      <w:r w:rsidRPr="00CE0424">
        <w:t>Conclusion</w:t>
      </w:r>
      <w:r w:rsidR="00521FE6">
        <w:t>s</w:t>
      </w:r>
    </w:p>
    <w:p w14:paraId="41DF083D" w14:textId="77777777" w:rsidR="00BB3F10" w:rsidRDefault="008F7909">
      <w:pPr>
        <w:pStyle w:val="TOC1"/>
      </w:pPr>
      <w:r>
        <w:t>In this paper, we observed the following:</w:t>
      </w:r>
    </w:p>
    <w:p w14:paraId="20242FBE" w14:textId="6C920B79" w:rsidR="007D6FF5" w:rsidRDefault="006E52F0">
      <w:pPr>
        <w:pStyle w:val="TOC1"/>
        <w:rPr>
          <w:rFonts w:asciiTheme="minorHAnsi" w:eastAsiaTheme="minorEastAsia" w:hAnsiTheme="minorHAnsi" w:cstheme="minorBidi"/>
          <w:b w:val="0"/>
          <w:sz w:val="22"/>
          <w:lang w:eastAsia="en-US"/>
        </w:rPr>
      </w:pPr>
      <w:r>
        <w:fldChar w:fldCharType="begin"/>
      </w:r>
      <w:r>
        <w:instrText xml:space="preserve"> TOC \n \t "Observation,1" </w:instrText>
      </w:r>
      <w:r>
        <w:fldChar w:fldCharType="separate"/>
      </w:r>
      <w:r w:rsidR="007D6FF5">
        <w:t>Observation 1</w:t>
      </w:r>
      <w:r w:rsidR="007D6FF5">
        <w:rPr>
          <w:rFonts w:asciiTheme="minorHAnsi" w:eastAsiaTheme="minorEastAsia" w:hAnsiTheme="minorHAnsi" w:cstheme="minorBidi"/>
          <w:b w:val="0"/>
          <w:sz w:val="22"/>
          <w:lang w:eastAsia="en-US"/>
        </w:rPr>
        <w:tab/>
      </w:r>
      <w:r w:rsidR="007D6FF5">
        <w:t>Technology neutral channel access based on the use of a harmonized ED threshold is a key aspect for good coexistence amongst technologies operating in the 6 GHz band. A particular technology may still use a technology-specific preamble for detection at a threshold at or lower than the harmonized ED threshold.</w:t>
      </w:r>
    </w:p>
    <w:p w14:paraId="27483D07" w14:textId="77777777" w:rsidR="007D6FF5" w:rsidRDefault="007D6FF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Further consideration of extensions to energy detection-based channel access mechanisms for NR-U through adoption of a common preamble are not necessary for both 6 GHz and 5 GHz.</w:t>
      </w:r>
    </w:p>
    <w:p w14:paraId="4D3C4EFB" w14:textId="7C419730" w:rsidR="008F7909" w:rsidRPr="008F7909" w:rsidRDefault="006E52F0" w:rsidP="008F7909">
      <w:r>
        <w:fldChar w:fldCharType="end"/>
      </w:r>
    </w:p>
    <w:p w14:paraId="55E93E11" w14:textId="761FE419" w:rsidR="00033825" w:rsidRDefault="008E065E" w:rsidP="00780A21">
      <w:pPr>
        <w:pStyle w:val="BodyText"/>
      </w:pPr>
      <w:r w:rsidRPr="00CE0424">
        <w:t>Based on the discussion</w:t>
      </w:r>
      <w:r w:rsidR="008F7909">
        <w:t xml:space="preserve"> in this paper we </w:t>
      </w:r>
      <w:r w:rsidR="00E77D16">
        <w:t>made the following proposals affecting the scope of the NR WI:</w:t>
      </w:r>
    </w:p>
    <w:p w14:paraId="705F13C3" w14:textId="77777777" w:rsidR="007D6FF5"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sidR="005B06D4">
        <w:rPr>
          <w:bCs/>
        </w:rPr>
        <w:instrText xml:space="preserve"> TOC \f \n \p " " \t "Proposal</w:instrText>
      </w:r>
      <w:r>
        <w:rPr>
          <w:bCs/>
        </w:rPr>
        <w:instrText xml:space="preserve">" </w:instrText>
      </w:r>
      <w:r>
        <w:rPr>
          <w:b w:val="0"/>
          <w:bCs/>
        </w:rPr>
        <w:fldChar w:fldCharType="separate"/>
      </w:r>
      <w:r w:rsidR="007D6FF5">
        <w:t>Proposal 1</w:t>
      </w:r>
      <w:r w:rsidR="007D6FF5">
        <w:rPr>
          <w:rFonts w:asciiTheme="minorHAnsi" w:eastAsiaTheme="minorEastAsia" w:hAnsiTheme="minorHAnsi" w:cstheme="minorBidi"/>
          <w:b w:val="0"/>
          <w:sz w:val="22"/>
          <w:lang w:eastAsia="en-US"/>
        </w:rPr>
        <w:tab/>
      </w:r>
      <w:r w:rsidR="007D6FF5">
        <w:t>Request IEEE to remove the words, “in collaboration with 3GPP RAN”, in the workshop invitation.</w:t>
      </w:r>
    </w:p>
    <w:p w14:paraId="0A860765" w14:textId="77777777" w:rsidR="007D6FF5" w:rsidRDefault="007D6FF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Part of the 3GPP input to the workshop on coexistence for 6 GHz spectrum organized by the IEEE should include a request for joint-consideration of a harmonized single common maximum ED threshold between 3GPP technologies (NR-U and LTE-LAA) and IEEE technologies (e.g., 802.11ax) operating in the 6 GHz band (Such a request was already made by RAN1 in a liaison statement for 5 GHz. The reasons for not considering the request at the time do not apply to 6 GHz).</w:t>
      </w:r>
    </w:p>
    <w:p w14:paraId="6A9B0059" w14:textId="2ABF6342" w:rsidR="00C97E18" w:rsidRPr="00B957A0" w:rsidRDefault="008E065E" w:rsidP="00B957A0">
      <w:pPr>
        <w:rPr>
          <w:b/>
          <w:bCs/>
        </w:rPr>
      </w:pPr>
      <w:r>
        <w:rPr>
          <w:b/>
          <w:bCs/>
        </w:rPr>
        <w:fldChar w:fldCharType="end"/>
      </w:r>
      <w:bookmarkStart w:id="41" w:name="_In-sequence_SDU_delivery"/>
      <w:bookmarkStart w:id="42" w:name="_Ref174151459"/>
      <w:bookmarkStart w:id="43" w:name="_Ref189809556"/>
      <w:bookmarkEnd w:id="41"/>
    </w:p>
    <w:p w14:paraId="6F5C0ACB" w14:textId="4598E228" w:rsidR="00E11163" w:rsidRDefault="00E11163" w:rsidP="00E11163">
      <w:pPr>
        <w:pStyle w:val="Heading1"/>
      </w:pPr>
      <w:bookmarkStart w:id="44" w:name="_Hlk531278929"/>
      <w:bookmarkEnd w:id="42"/>
      <w:bookmarkEnd w:id="43"/>
      <w:r>
        <w:t>References</w:t>
      </w:r>
    </w:p>
    <w:p w14:paraId="3C2843AF" w14:textId="715E887D" w:rsidR="006E6DDA" w:rsidRDefault="00A05309" w:rsidP="00780A21">
      <w:pPr>
        <w:pStyle w:val="Reference"/>
        <w:numPr>
          <w:ilvl w:val="0"/>
          <w:numId w:val="30"/>
        </w:numPr>
        <w:textAlignment w:val="auto"/>
      </w:pPr>
      <w:bookmarkStart w:id="45" w:name="_Ref531088864"/>
      <w:r>
        <w:t xml:space="preserve">3GPP TR 38.889, “Study </w:t>
      </w:r>
      <w:r w:rsidR="00475FD3">
        <w:t>on NR-based access to unlicensed spectrum,” v16.0.0, December 2018</w:t>
      </w:r>
      <w:r w:rsidR="00AA6158">
        <w:t>.</w:t>
      </w:r>
      <w:bookmarkEnd w:id="45"/>
    </w:p>
    <w:p w14:paraId="656922A3" w14:textId="51059C48" w:rsidR="00780A21" w:rsidRDefault="00AA6158" w:rsidP="00AA6158">
      <w:pPr>
        <w:pStyle w:val="Reference"/>
        <w:numPr>
          <w:ilvl w:val="0"/>
          <w:numId w:val="30"/>
        </w:numPr>
        <w:textAlignment w:val="auto"/>
      </w:pPr>
      <w:bookmarkStart w:id="46" w:name="_Ref531088877"/>
      <w:r w:rsidRPr="00AA6158">
        <w:t>R</w:t>
      </w:r>
      <w:r w:rsidR="003320C5">
        <w:t>P-190040</w:t>
      </w:r>
      <w:r>
        <w:t>, “</w:t>
      </w:r>
      <w:r w:rsidR="003320C5" w:rsidRPr="003320C5">
        <w:t>LS on Invitation to Coexistence Workshop in Vienna in July 2019</w:t>
      </w:r>
      <w:r w:rsidR="003320C5">
        <w:t>”, March 2019</w:t>
      </w:r>
      <w:r>
        <w:t>.</w:t>
      </w:r>
      <w:bookmarkEnd w:id="46"/>
    </w:p>
    <w:p w14:paraId="448818ED" w14:textId="606777EA" w:rsidR="00FB458A" w:rsidRDefault="00FB458A" w:rsidP="00C62DF2">
      <w:pPr>
        <w:pStyle w:val="Reference"/>
        <w:numPr>
          <w:ilvl w:val="0"/>
          <w:numId w:val="30"/>
        </w:numPr>
      </w:pPr>
      <w:bookmarkStart w:id="47" w:name="_Ref531113230"/>
      <w:r>
        <w:t>R1-1814020, “Channel access mechanisms for NR-U,” Ericsson, RAN1#95, November 2018.</w:t>
      </w:r>
      <w:bookmarkEnd w:id="47"/>
    </w:p>
    <w:p w14:paraId="7C702698" w14:textId="4DE72028" w:rsidR="00DB0814" w:rsidRPr="002201C3" w:rsidRDefault="00E92CE2" w:rsidP="00C62DF2">
      <w:pPr>
        <w:pStyle w:val="Reference"/>
        <w:numPr>
          <w:ilvl w:val="0"/>
          <w:numId w:val="30"/>
        </w:numPr>
      </w:pPr>
      <w:bookmarkStart w:id="48" w:name="_Ref531192600"/>
      <w:proofErr w:type="gramStart"/>
      <w:r>
        <w:rPr>
          <w:rFonts w:cs="Arial"/>
        </w:rPr>
        <w:t>BRAN(</w:t>
      </w:r>
      <w:proofErr w:type="gramEnd"/>
      <w:r>
        <w:rPr>
          <w:rFonts w:cs="Arial"/>
        </w:rPr>
        <w:t>15)000200r3, “Agreed Compromise on Adaptivity”, ETSI BRAN 85.</w:t>
      </w:r>
      <w:bookmarkEnd w:id="48"/>
    </w:p>
    <w:p w14:paraId="36C98329" w14:textId="1BEC723F" w:rsidR="00E92CE2" w:rsidRPr="002201C3" w:rsidRDefault="00E92CE2" w:rsidP="00C62DF2">
      <w:pPr>
        <w:pStyle w:val="Reference"/>
        <w:numPr>
          <w:ilvl w:val="0"/>
          <w:numId w:val="30"/>
        </w:numPr>
      </w:pPr>
      <w:bookmarkStart w:id="49" w:name="_Ref531193059"/>
      <w:r>
        <w:t>R1-166040, “</w:t>
      </w:r>
      <w:r>
        <w:rPr>
          <w:rFonts w:cs="Arial"/>
        </w:rPr>
        <w:t>R</w:t>
      </w:r>
      <w:r w:rsidRPr="000063E6">
        <w:rPr>
          <w:rFonts w:cs="Arial"/>
        </w:rPr>
        <w:t>espo</w:t>
      </w:r>
      <w:r>
        <w:rPr>
          <w:rFonts w:cs="Arial"/>
        </w:rPr>
        <w:t>nse LS to IEEE 802.</w:t>
      </w:r>
      <w:r w:rsidRPr="000063E6">
        <w:rPr>
          <w:rFonts w:cs="Arial"/>
        </w:rPr>
        <w:t>11 regarding LAA</w:t>
      </w:r>
      <w:r>
        <w:rPr>
          <w:rFonts w:cs="Arial"/>
        </w:rPr>
        <w:t>”, 3GPP RAN1, May 2016</w:t>
      </w:r>
      <w:bookmarkEnd w:id="49"/>
    </w:p>
    <w:p w14:paraId="58E78F1C" w14:textId="7ECEBB0B" w:rsidR="005662B8" w:rsidRDefault="005662B8" w:rsidP="00C62DF2">
      <w:pPr>
        <w:pStyle w:val="Reference"/>
        <w:numPr>
          <w:ilvl w:val="0"/>
          <w:numId w:val="30"/>
        </w:numPr>
      </w:pPr>
      <w:bookmarkStart w:id="50" w:name="_Ref531193923"/>
      <w:r w:rsidRPr="005662B8">
        <w:t>IEEE EC-16-0203-00-00EC, IEEE 802 LMSC response LS on energy detection threshold in future 802.11 technologies, 14 November 2016</w:t>
      </w:r>
      <w:bookmarkEnd w:id="50"/>
    </w:p>
    <w:p w14:paraId="3EA887D2" w14:textId="24DDBC98" w:rsidR="00C41139" w:rsidRDefault="008348DD" w:rsidP="00C41139">
      <w:pPr>
        <w:pStyle w:val="Reference"/>
        <w:numPr>
          <w:ilvl w:val="0"/>
          <w:numId w:val="30"/>
        </w:numPr>
      </w:pPr>
      <w:bookmarkStart w:id="51" w:name="_Ref531194234"/>
      <w:r w:rsidRPr="008348DD">
        <w:t>IEEE EC-17-0064-00-00EC</w:t>
      </w:r>
      <w:r>
        <w:t xml:space="preserve">, </w:t>
      </w:r>
      <w:r w:rsidRPr="008348DD">
        <w:t>Liaison Statement to 3GPP RAN/RAN1/RAN4 related to PD &amp; ED issues</w:t>
      </w:r>
      <w:r>
        <w:t>, 22 March 2017</w:t>
      </w:r>
      <w:bookmarkEnd w:id="44"/>
      <w:bookmarkEnd w:id="51"/>
    </w:p>
    <w:p w14:paraId="6998D740" w14:textId="2BB62EA1" w:rsidR="001A3EC7" w:rsidRDefault="001A3EC7" w:rsidP="00794591">
      <w:pPr>
        <w:pStyle w:val="Reference"/>
        <w:numPr>
          <w:ilvl w:val="0"/>
          <w:numId w:val="30"/>
        </w:numPr>
        <w:textAlignment w:val="auto"/>
      </w:pPr>
      <w:bookmarkStart w:id="52" w:name="_Ref3201034"/>
      <w:r>
        <w:t>RP-182878, “New WID on NR-based Access to Unlicensed Spectrum”.</w:t>
      </w:r>
      <w:r w:rsidR="006A1D3A">
        <w:t xml:space="preserve"> Qualcomm, RAN1#82, December 2018.</w:t>
      </w:r>
      <w:bookmarkEnd w:id="52"/>
    </w:p>
    <w:p w14:paraId="0727A684" w14:textId="5A1978DC" w:rsidR="00BA2E17" w:rsidRDefault="00904750" w:rsidP="00794591">
      <w:pPr>
        <w:pStyle w:val="Reference"/>
        <w:numPr>
          <w:ilvl w:val="0"/>
          <w:numId w:val="30"/>
        </w:numPr>
        <w:textAlignment w:val="auto"/>
      </w:pPr>
      <w:bookmarkStart w:id="53" w:name="_Ref3200724"/>
      <w:r>
        <w:t xml:space="preserve">RAN1 </w:t>
      </w:r>
      <w:r w:rsidR="002A44C4">
        <w:t xml:space="preserve">Chairman’s Notes, </w:t>
      </w:r>
      <w:r w:rsidRPr="00904750">
        <w:t>3GPP TSG RAN WG1 Meeting #96</w:t>
      </w:r>
      <w:r>
        <w:t xml:space="preserve">, Athens, Greece, </w:t>
      </w:r>
      <w:r w:rsidR="002A44C4">
        <w:t>February 2019.</w:t>
      </w:r>
      <w:bookmarkEnd w:id="53"/>
    </w:p>
    <w:sectPr w:rsidR="00BA2E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72236" w14:textId="77777777" w:rsidR="00F17696" w:rsidRDefault="00F17696">
      <w:r>
        <w:separator/>
      </w:r>
    </w:p>
  </w:endnote>
  <w:endnote w:type="continuationSeparator" w:id="0">
    <w:p w14:paraId="5A5059C8" w14:textId="77777777" w:rsidR="00F17696" w:rsidRDefault="00F17696">
      <w:r>
        <w:continuationSeparator/>
      </w:r>
    </w:p>
  </w:endnote>
  <w:endnote w:type="continuationNotice" w:id="1">
    <w:p w14:paraId="79B2E1A1" w14:textId="77777777" w:rsidR="00F17696" w:rsidRDefault="00F17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DB0D2" w14:textId="77777777" w:rsidR="00F17696" w:rsidRDefault="00F17696">
      <w:r>
        <w:separator/>
      </w:r>
    </w:p>
  </w:footnote>
  <w:footnote w:type="continuationSeparator" w:id="0">
    <w:p w14:paraId="7874A6C8" w14:textId="77777777" w:rsidR="00F17696" w:rsidRDefault="00F17696">
      <w:r>
        <w:continuationSeparator/>
      </w:r>
    </w:p>
  </w:footnote>
  <w:footnote w:type="continuationNotice" w:id="1">
    <w:p w14:paraId="6798BC39" w14:textId="77777777" w:rsidR="00F17696" w:rsidRDefault="00F176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EACEE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3B8D13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DDCE6B6"/>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7917022"/>
    <w:multiLevelType w:val="hybridMultilevel"/>
    <w:tmpl w:val="430CB8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B437A"/>
    <w:multiLevelType w:val="hybridMultilevel"/>
    <w:tmpl w:val="320C6982"/>
    <w:lvl w:ilvl="0" w:tplc="C05AF908">
      <w:numFmt w:val="bullet"/>
      <w:lvlText w:val=""/>
      <w:lvlJc w:val="left"/>
      <w:pPr>
        <w:ind w:left="468" w:hanging="360"/>
      </w:pPr>
      <w:rPr>
        <w:rFonts w:ascii="Symbol" w:eastAsia="Times New Roman" w:hAnsi="Symbol"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4"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E0662EA0"/>
    <w:lvl w:ilvl="0" w:tplc="393E72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9F0B64"/>
    <w:multiLevelType w:val="hybridMultilevel"/>
    <w:tmpl w:val="4F443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112AE"/>
    <w:multiLevelType w:val="hybridMultilevel"/>
    <w:tmpl w:val="A3125D38"/>
    <w:lvl w:ilvl="0" w:tplc="B310FB42">
      <w:start w:val="1"/>
      <w:numFmt w:val="bullet"/>
      <w:lvlText w:val="—"/>
      <w:lvlJc w:val="left"/>
      <w:pPr>
        <w:tabs>
          <w:tab w:val="num" w:pos="720"/>
        </w:tabs>
        <w:ind w:left="720" w:hanging="360"/>
      </w:pPr>
      <w:rPr>
        <w:rFonts w:ascii="Ericsson Hilda Light" w:hAnsi="Ericsson Hilda Light" w:hint="default"/>
      </w:rPr>
    </w:lvl>
    <w:lvl w:ilvl="1" w:tplc="CFE065E8" w:tentative="1">
      <w:start w:val="1"/>
      <w:numFmt w:val="bullet"/>
      <w:lvlText w:val="—"/>
      <w:lvlJc w:val="left"/>
      <w:pPr>
        <w:tabs>
          <w:tab w:val="num" w:pos="1440"/>
        </w:tabs>
        <w:ind w:left="1440" w:hanging="360"/>
      </w:pPr>
      <w:rPr>
        <w:rFonts w:ascii="Ericsson Hilda Light" w:hAnsi="Ericsson Hilda Light" w:hint="default"/>
      </w:rPr>
    </w:lvl>
    <w:lvl w:ilvl="2" w:tplc="14BCACA2">
      <w:start w:val="1"/>
      <w:numFmt w:val="bullet"/>
      <w:lvlText w:val="—"/>
      <w:lvlJc w:val="left"/>
      <w:pPr>
        <w:tabs>
          <w:tab w:val="num" w:pos="2160"/>
        </w:tabs>
        <w:ind w:left="2160" w:hanging="360"/>
      </w:pPr>
      <w:rPr>
        <w:rFonts w:ascii="Ericsson Hilda Light" w:hAnsi="Ericsson Hilda Light" w:hint="default"/>
      </w:rPr>
    </w:lvl>
    <w:lvl w:ilvl="3" w:tplc="498E5F28">
      <w:start w:val="57"/>
      <w:numFmt w:val="bullet"/>
      <w:lvlText w:val="—"/>
      <w:lvlJc w:val="left"/>
      <w:pPr>
        <w:tabs>
          <w:tab w:val="num" w:pos="2880"/>
        </w:tabs>
        <w:ind w:left="2880" w:hanging="360"/>
      </w:pPr>
      <w:rPr>
        <w:rFonts w:ascii="Ericsson Hilda Light" w:hAnsi="Ericsson Hilda Light" w:hint="default"/>
      </w:rPr>
    </w:lvl>
    <w:lvl w:ilvl="4" w:tplc="F612D2D8" w:tentative="1">
      <w:start w:val="1"/>
      <w:numFmt w:val="bullet"/>
      <w:lvlText w:val="—"/>
      <w:lvlJc w:val="left"/>
      <w:pPr>
        <w:tabs>
          <w:tab w:val="num" w:pos="3600"/>
        </w:tabs>
        <w:ind w:left="3600" w:hanging="360"/>
      </w:pPr>
      <w:rPr>
        <w:rFonts w:ascii="Ericsson Hilda Light" w:hAnsi="Ericsson Hilda Light" w:hint="default"/>
      </w:rPr>
    </w:lvl>
    <w:lvl w:ilvl="5" w:tplc="4C386AF6" w:tentative="1">
      <w:start w:val="1"/>
      <w:numFmt w:val="bullet"/>
      <w:lvlText w:val="—"/>
      <w:lvlJc w:val="left"/>
      <w:pPr>
        <w:tabs>
          <w:tab w:val="num" w:pos="4320"/>
        </w:tabs>
        <w:ind w:left="4320" w:hanging="360"/>
      </w:pPr>
      <w:rPr>
        <w:rFonts w:ascii="Ericsson Hilda Light" w:hAnsi="Ericsson Hilda Light" w:hint="default"/>
      </w:rPr>
    </w:lvl>
    <w:lvl w:ilvl="6" w:tplc="D5B062A4" w:tentative="1">
      <w:start w:val="1"/>
      <w:numFmt w:val="bullet"/>
      <w:lvlText w:val="—"/>
      <w:lvlJc w:val="left"/>
      <w:pPr>
        <w:tabs>
          <w:tab w:val="num" w:pos="5040"/>
        </w:tabs>
        <w:ind w:left="5040" w:hanging="360"/>
      </w:pPr>
      <w:rPr>
        <w:rFonts w:ascii="Ericsson Hilda Light" w:hAnsi="Ericsson Hilda Light" w:hint="default"/>
      </w:rPr>
    </w:lvl>
    <w:lvl w:ilvl="7" w:tplc="B1382978" w:tentative="1">
      <w:start w:val="1"/>
      <w:numFmt w:val="bullet"/>
      <w:lvlText w:val="—"/>
      <w:lvlJc w:val="left"/>
      <w:pPr>
        <w:tabs>
          <w:tab w:val="num" w:pos="5760"/>
        </w:tabs>
        <w:ind w:left="5760" w:hanging="360"/>
      </w:pPr>
      <w:rPr>
        <w:rFonts w:ascii="Ericsson Hilda Light" w:hAnsi="Ericsson Hilda Light" w:hint="default"/>
      </w:rPr>
    </w:lvl>
    <w:lvl w:ilvl="8" w:tplc="4692C08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7"/>
  </w:num>
  <w:num w:numId="2">
    <w:abstractNumId w:val="30"/>
  </w:num>
  <w:num w:numId="3">
    <w:abstractNumId w:val="24"/>
  </w:num>
  <w:num w:numId="4">
    <w:abstractNumId w:val="25"/>
  </w:num>
  <w:num w:numId="5">
    <w:abstractNumId w:val="22"/>
  </w:num>
  <w:num w:numId="6">
    <w:abstractNumId w:val="26"/>
  </w:num>
  <w:num w:numId="7">
    <w:abstractNumId w:val="32"/>
  </w:num>
  <w:num w:numId="8">
    <w:abstractNumId w:val="23"/>
  </w:num>
  <w:num w:numId="9">
    <w:abstractNumId w:val="20"/>
  </w:num>
  <w:num w:numId="10">
    <w:abstractNumId w:val="3"/>
  </w:num>
  <w:num w:numId="11">
    <w:abstractNumId w:val="2"/>
  </w:num>
  <w:num w:numId="12">
    <w:abstractNumId w:val="1"/>
  </w:num>
  <w:num w:numId="13">
    <w:abstractNumId w:val="31"/>
  </w:num>
  <w:num w:numId="14">
    <w:abstractNumId w:val="0"/>
  </w:num>
  <w:num w:numId="15">
    <w:abstractNumId w:val="36"/>
  </w:num>
  <w:num w:numId="16">
    <w:abstractNumId w:val="19"/>
  </w:num>
  <w:num w:numId="17">
    <w:abstractNumId w:val="38"/>
  </w:num>
  <w:num w:numId="18">
    <w:abstractNumId w:val="16"/>
  </w:num>
  <w:num w:numId="19">
    <w:abstractNumId w:val="15"/>
  </w:num>
  <w:num w:numId="20">
    <w:abstractNumId w:val="11"/>
  </w:num>
  <w:num w:numId="21">
    <w:abstractNumId w:val="17"/>
  </w:num>
  <w:num w:numId="22">
    <w:abstractNumId w:val="14"/>
  </w:num>
  <w:num w:numId="23">
    <w:abstractNumId w:val="29"/>
  </w:num>
  <w:num w:numId="24">
    <w:abstractNumId w:val="37"/>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7"/>
  </w:num>
  <w:num w:numId="38">
    <w:abstractNumId w:val="28"/>
  </w:num>
  <w:num w:numId="39">
    <w:abstractNumId w:val="39"/>
  </w:num>
  <w:num w:numId="40">
    <w:abstractNumId w:val="9"/>
  </w:num>
  <w:num w:numId="41">
    <w:abstractNumId w:val="18"/>
  </w:num>
  <w:num w:numId="42">
    <w:abstractNumId w:val="35"/>
  </w:num>
  <w:num w:numId="43">
    <w:abstractNumId w:val="21"/>
  </w:num>
  <w:num w:numId="44">
    <w:abstractNumId w:val="12"/>
  </w:num>
  <w:num w:numId="45">
    <w:abstractNumId w:val="10"/>
  </w:num>
  <w:num w:numId="46">
    <w:abstractNumId w:val="8"/>
  </w:num>
  <w:num w:numId="47">
    <w:abstractNumId w:val="24"/>
  </w:num>
  <w:num w:numId="48">
    <w:abstractNumId w:val="40"/>
  </w:num>
  <w:num w:numId="49">
    <w:abstractNumId w:val="24"/>
  </w:num>
  <w:num w:numId="50">
    <w:abstractNumId w:val="24"/>
  </w:num>
  <w:num w:numId="51">
    <w:abstractNumId w:val="34"/>
  </w:num>
  <w:num w:numId="52">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1B48"/>
    <w:rsid w:val="000134E3"/>
    <w:rsid w:val="0001525B"/>
    <w:rsid w:val="00015D15"/>
    <w:rsid w:val="000239D3"/>
    <w:rsid w:val="0002564D"/>
    <w:rsid w:val="00025ECA"/>
    <w:rsid w:val="000305A9"/>
    <w:rsid w:val="000325B8"/>
    <w:rsid w:val="00033825"/>
    <w:rsid w:val="00034C15"/>
    <w:rsid w:val="00035718"/>
    <w:rsid w:val="00036006"/>
    <w:rsid w:val="00036BA1"/>
    <w:rsid w:val="00041CE5"/>
    <w:rsid w:val="000422E2"/>
    <w:rsid w:val="00042B50"/>
    <w:rsid w:val="00042F22"/>
    <w:rsid w:val="000444EF"/>
    <w:rsid w:val="0005138B"/>
    <w:rsid w:val="00052A07"/>
    <w:rsid w:val="000534E3"/>
    <w:rsid w:val="0005606A"/>
    <w:rsid w:val="0005631A"/>
    <w:rsid w:val="00057117"/>
    <w:rsid w:val="000616E7"/>
    <w:rsid w:val="00062D64"/>
    <w:rsid w:val="0006487E"/>
    <w:rsid w:val="00065D4F"/>
    <w:rsid w:val="00065E1A"/>
    <w:rsid w:val="00066B5F"/>
    <w:rsid w:val="000725C4"/>
    <w:rsid w:val="0007268D"/>
    <w:rsid w:val="00077368"/>
    <w:rsid w:val="00077E5F"/>
    <w:rsid w:val="00080240"/>
    <w:rsid w:val="0008036A"/>
    <w:rsid w:val="00081AE6"/>
    <w:rsid w:val="000855EB"/>
    <w:rsid w:val="00085B52"/>
    <w:rsid w:val="00086415"/>
    <w:rsid w:val="000866F2"/>
    <w:rsid w:val="0009009F"/>
    <w:rsid w:val="00091557"/>
    <w:rsid w:val="000924C1"/>
    <w:rsid w:val="000924F0"/>
    <w:rsid w:val="00093474"/>
    <w:rsid w:val="000935C7"/>
    <w:rsid w:val="00094AE2"/>
    <w:rsid w:val="0009510F"/>
    <w:rsid w:val="000A16DA"/>
    <w:rsid w:val="000A1B7B"/>
    <w:rsid w:val="000A2C5B"/>
    <w:rsid w:val="000A56F2"/>
    <w:rsid w:val="000B0C0B"/>
    <w:rsid w:val="000B18DC"/>
    <w:rsid w:val="000B1D9E"/>
    <w:rsid w:val="000B2719"/>
    <w:rsid w:val="000B3A8F"/>
    <w:rsid w:val="000B4AB9"/>
    <w:rsid w:val="000B564A"/>
    <w:rsid w:val="000B58C3"/>
    <w:rsid w:val="000B5D26"/>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5621"/>
    <w:rsid w:val="000F67A4"/>
    <w:rsid w:val="000F6DF3"/>
    <w:rsid w:val="000F7C85"/>
    <w:rsid w:val="001005FF"/>
    <w:rsid w:val="001018F5"/>
    <w:rsid w:val="001060A9"/>
    <w:rsid w:val="001062FB"/>
    <w:rsid w:val="001063E6"/>
    <w:rsid w:val="0010726D"/>
    <w:rsid w:val="00113CF4"/>
    <w:rsid w:val="00114CD4"/>
    <w:rsid w:val="001153EA"/>
    <w:rsid w:val="00115643"/>
    <w:rsid w:val="00115AB5"/>
    <w:rsid w:val="00116765"/>
    <w:rsid w:val="001219F5"/>
    <w:rsid w:val="00121A20"/>
    <w:rsid w:val="0012377F"/>
    <w:rsid w:val="00124314"/>
    <w:rsid w:val="00126B4A"/>
    <w:rsid w:val="00130A3E"/>
    <w:rsid w:val="00130E8D"/>
    <w:rsid w:val="00132FD0"/>
    <w:rsid w:val="001344C0"/>
    <w:rsid w:val="001346FA"/>
    <w:rsid w:val="0013474C"/>
    <w:rsid w:val="00134EA7"/>
    <w:rsid w:val="00135252"/>
    <w:rsid w:val="001353D0"/>
    <w:rsid w:val="0013690B"/>
    <w:rsid w:val="00137AB5"/>
    <w:rsid w:val="00137F0B"/>
    <w:rsid w:val="00151E23"/>
    <w:rsid w:val="001526E0"/>
    <w:rsid w:val="00152B0A"/>
    <w:rsid w:val="001551B5"/>
    <w:rsid w:val="0015562D"/>
    <w:rsid w:val="001570C7"/>
    <w:rsid w:val="00164391"/>
    <w:rsid w:val="001659C1"/>
    <w:rsid w:val="00173A8E"/>
    <w:rsid w:val="00177795"/>
    <w:rsid w:val="00180206"/>
    <w:rsid w:val="0018143F"/>
    <w:rsid w:val="00187BD5"/>
    <w:rsid w:val="00190AC1"/>
    <w:rsid w:val="0019341A"/>
    <w:rsid w:val="00196FBC"/>
    <w:rsid w:val="0019735F"/>
    <w:rsid w:val="0019738D"/>
    <w:rsid w:val="00197DF9"/>
    <w:rsid w:val="001A1987"/>
    <w:rsid w:val="001A2564"/>
    <w:rsid w:val="001A3EC7"/>
    <w:rsid w:val="001A43EF"/>
    <w:rsid w:val="001A6173"/>
    <w:rsid w:val="001A6CBA"/>
    <w:rsid w:val="001B0D97"/>
    <w:rsid w:val="001B23A1"/>
    <w:rsid w:val="001B5A5D"/>
    <w:rsid w:val="001C1CE5"/>
    <w:rsid w:val="001C2CF6"/>
    <w:rsid w:val="001C3D2A"/>
    <w:rsid w:val="001C5C31"/>
    <w:rsid w:val="001C79DE"/>
    <w:rsid w:val="001D51BA"/>
    <w:rsid w:val="001D6342"/>
    <w:rsid w:val="001D6D53"/>
    <w:rsid w:val="001E58E2"/>
    <w:rsid w:val="001E70D8"/>
    <w:rsid w:val="001E7AED"/>
    <w:rsid w:val="001F1C05"/>
    <w:rsid w:val="001F3916"/>
    <w:rsid w:val="001F54C5"/>
    <w:rsid w:val="001F57AE"/>
    <w:rsid w:val="001F662C"/>
    <w:rsid w:val="001F7074"/>
    <w:rsid w:val="00200490"/>
    <w:rsid w:val="002004F2"/>
    <w:rsid w:val="00201358"/>
    <w:rsid w:val="00201F3A"/>
    <w:rsid w:val="00203B00"/>
    <w:rsid w:val="00203F96"/>
    <w:rsid w:val="0020619D"/>
    <w:rsid w:val="002069B2"/>
    <w:rsid w:val="00207FA3"/>
    <w:rsid w:val="00214DA8"/>
    <w:rsid w:val="00215423"/>
    <w:rsid w:val="002154A7"/>
    <w:rsid w:val="002158FA"/>
    <w:rsid w:val="002201C3"/>
    <w:rsid w:val="00220600"/>
    <w:rsid w:val="002224DB"/>
    <w:rsid w:val="00223FCB"/>
    <w:rsid w:val="002252C3"/>
    <w:rsid w:val="00225C54"/>
    <w:rsid w:val="00230765"/>
    <w:rsid w:val="002319E4"/>
    <w:rsid w:val="00232F6A"/>
    <w:rsid w:val="00235632"/>
    <w:rsid w:val="00235872"/>
    <w:rsid w:val="00241559"/>
    <w:rsid w:val="00242AD3"/>
    <w:rsid w:val="00242E48"/>
    <w:rsid w:val="002435B3"/>
    <w:rsid w:val="002458EB"/>
    <w:rsid w:val="00247E49"/>
    <w:rsid w:val="002500C8"/>
    <w:rsid w:val="002554B6"/>
    <w:rsid w:val="00256492"/>
    <w:rsid w:val="00257543"/>
    <w:rsid w:val="002617E7"/>
    <w:rsid w:val="00264228"/>
    <w:rsid w:val="00264334"/>
    <w:rsid w:val="0026473E"/>
    <w:rsid w:val="00264D7B"/>
    <w:rsid w:val="00265F0E"/>
    <w:rsid w:val="00266214"/>
    <w:rsid w:val="00267C83"/>
    <w:rsid w:val="0027144F"/>
    <w:rsid w:val="00271F3A"/>
    <w:rsid w:val="00273278"/>
    <w:rsid w:val="002737F4"/>
    <w:rsid w:val="00273DBF"/>
    <w:rsid w:val="00275D91"/>
    <w:rsid w:val="00277DCA"/>
    <w:rsid w:val="00280166"/>
    <w:rsid w:val="002805F5"/>
    <w:rsid w:val="00280751"/>
    <w:rsid w:val="00280778"/>
    <w:rsid w:val="0028077B"/>
    <w:rsid w:val="0028280A"/>
    <w:rsid w:val="00286704"/>
    <w:rsid w:val="00286ACD"/>
    <w:rsid w:val="00287838"/>
    <w:rsid w:val="002907B5"/>
    <w:rsid w:val="00292EB7"/>
    <w:rsid w:val="00296110"/>
    <w:rsid w:val="00296227"/>
    <w:rsid w:val="00296F44"/>
    <w:rsid w:val="0029777D"/>
    <w:rsid w:val="002A055E"/>
    <w:rsid w:val="002A1D4E"/>
    <w:rsid w:val="002A2869"/>
    <w:rsid w:val="002A34A5"/>
    <w:rsid w:val="002A44C4"/>
    <w:rsid w:val="002B1AC5"/>
    <w:rsid w:val="002B24D6"/>
    <w:rsid w:val="002C41E6"/>
    <w:rsid w:val="002D0681"/>
    <w:rsid w:val="002D071A"/>
    <w:rsid w:val="002D34B2"/>
    <w:rsid w:val="002D7453"/>
    <w:rsid w:val="002D7637"/>
    <w:rsid w:val="002E17F2"/>
    <w:rsid w:val="002E7CAE"/>
    <w:rsid w:val="002E7E8C"/>
    <w:rsid w:val="002F14B3"/>
    <w:rsid w:val="002F2771"/>
    <w:rsid w:val="002F37A9"/>
    <w:rsid w:val="002F7363"/>
    <w:rsid w:val="00300193"/>
    <w:rsid w:val="00301747"/>
    <w:rsid w:val="00301CE6"/>
    <w:rsid w:val="00301ED8"/>
    <w:rsid w:val="0030256B"/>
    <w:rsid w:val="00302AE4"/>
    <w:rsid w:val="0030501F"/>
    <w:rsid w:val="00307220"/>
    <w:rsid w:val="00307BA1"/>
    <w:rsid w:val="00311702"/>
    <w:rsid w:val="00311AF1"/>
    <w:rsid w:val="00311E82"/>
    <w:rsid w:val="00313FD6"/>
    <w:rsid w:val="003143BD"/>
    <w:rsid w:val="00317086"/>
    <w:rsid w:val="00317E0D"/>
    <w:rsid w:val="003203ED"/>
    <w:rsid w:val="00322C9F"/>
    <w:rsid w:val="00322F42"/>
    <w:rsid w:val="00324D23"/>
    <w:rsid w:val="00331518"/>
    <w:rsid w:val="00331751"/>
    <w:rsid w:val="00331EEF"/>
    <w:rsid w:val="003320C5"/>
    <w:rsid w:val="00332AB4"/>
    <w:rsid w:val="00332F9D"/>
    <w:rsid w:val="0033441B"/>
    <w:rsid w:val="00334579"/>
    <w:rsid w:val="00335858"/>
    <w:rsid w:val="00336BDA"/>
    <w:rsid w:val="00342BD7"/>
    <w:rsid w:val="00343A07"/>
    <w:rsid w:val="00346DB5"/>
    <w:rsid w:val="003477B1"/>
    <w:rsid w:val="0035115B"/>
    <w:rsid w:val="00352685"/>
    <w:rsid w:val="0035491B"/>
    <w:rsid w:val="00354AE6"/>
    <w:rsid w:val="003556E3"/>
    <w:rsid w:val="00357380"/>
    <w:rsid w:val="00357F49"/>
    <w:rsid w:val="003602D9"/>
    <w:rsid w:val="003604CE"/>
    <w:rsid w:val="003652F1"/>
    <w:rsid w:val="00370E47"/>
    <w:rsid w:val="003742AC"/>
    <w:rsid w:val="00377CE1"/>
    <w:rsid w:val="003850E8"/>
    <w:rsid w:val="00385BF0"/>
    <w:rsid w:val="00386D0F"/>
    <w:rsid w:val="003939FF"/>
    <w:rsid w:val="00395FB1"/>
    <w:rsid w:val="003A2223"/>
    <w:rsid w:val="003A2A0F"/>
    <w:rsid w:val="003A45A1"/>
    <w:rsid w:val="003A4D38"/>
    <w:rsid w:val="003A5B0A"/>
    <w:rsid w:val="003A6BAC"/>
    <w:rsid w:val="003A7EF3"/>
    <w:rsid w:val="003B0504"/>
    <w:rsid w:val="003B159C"/>
    <w:rsid w:val="003B1828"/>
    <w:rsid w:val="003B369F"/>
    <w:rsid w:val="003B36A3"/>
    <w:rsid w:val="003B460B"/>
    <w:rsid w:val="003B4C0F"/>
    <w:rsid w:val="003B7FE5"/>
    <w:rsid w:val="003C03D0"/>
    <w:rsid w:val="003C11C8"/>
    <w:rsid w:val="003C213A"/>
    <w:rsid w:val="003C2702"/>
    <w:rsid w:val="003C3D72"/>
    <w:rsid w:val="003C6D22"/>
    <w:rsid w:val="003C7806"/>
    <w:rsid w:val="003D109F"/>
    <w:rsid w:val="003D2478"/>
    <w:rsid w:val="003D3C45"/>
    <w:rsid w:val="003D5B1F"/>
    <w:rsid w:val="003D6581"/>
    <w:rsid w:val="003D7932"/>
    <w:rsid w:val="003E15FA"/>
    <w:rsid w:val="003E1B3D"/>
    <w:rsid w:val="003E55E4"/>
    <w:rsid w:val="003E74E3"/>
    <w:rsid w:val="003F05C7"/>
    <w:rsid w:val="003F2CD4"/>
    <w:rsid w:val="003F6BBE"/>
    <w:rsid w:val="003F70E1"/>
    <w:rsid w:val="004000E8"/>
    <w:rsid w:val="00400757"/>
    <w:rsid w:val="00401274"/>
    <w:rsid w:val="00402E2B"/>
    <w:rsid w:val="0040512B"/>
    <w:rsid w:val="00405CA5"/>
    <w:rsid w:val="00407CD3"/>
    <w:rsid w:val="00410134"/>
    <w:rsid w:val="00410B72"/>
    <w:rsid w:val="00410F18"/>
    <w:rsid w:val="0041263E"/>
    <w:rsid w:val="00413AAC"/>
    <w:rsid w:val="00421105"/>
    <w:rsid w:val="004242F4"/>
    <w:rsid w:val="00424DDF"/>
    <w:rsid w:val="00427248"/>
    <w:rsid w:val="00433ECF"/>
    <w:rsid w:val="00437447"/>
    <w:rsid w:val="004415AC"/>
    <w:rsid w:val="00441A92"/>
    <w:rsid w:val="00444F56"/>
    <w:rsid w:val="00445729"/>
    <w:rsid w:val="00446488"/>
    <w:rsid w:val="00450096"/>
    <w:rsid w:val="004517AA"/>
    <w:rsid w:val="00452110"/>
    <w:rsid w:val="0045268F"/>
    <w:rsid w:val="00452CAC"/>
    <w:rsid w:val="00455E9F"/>
    <w:rsid w:val="00455F46"/>
    <w:rsid w:val="00457565"/>
    <w:rsid w:val="00457B71"/>
    <w:rsid w:val="004614B5"/>
    <w:rsid w:val="004616C7"/>
    <w:rsid w:val="004669E2"/>
    <w:rsid w:val="00470C31"/>
    <w:rsid w:val="00471CE4"/>
    <w:rsid w:val="004734D0"/>
    <w:rsid w:val="0047414C"/>
    <w:rsid w:val="004741B6"/>
    <w:rsid w:val="0047422D"/>
    <w:rsid w:val="0047556B"/>
    <w:rsid w:val="00475FD3"/>
    <w:rsid w:val="00477768"/>
    <w:rsid w:val="004801B4"/>
    <w:rsid w:val="004872AE"/>
    <w:rsid w:val="0049176F"/>
    <w:rsid w:val="00492728"/>
    <w:rsid w:val="00492BC5"/>
    <w:rsid w:val="004964F1"/>
    <w:rsid w:val="004A00B6"/>
    <w:rsid w:val="004A16BC"/>
    <w:rsid w:val="004A2B94"/>
    <w:rsid w:val="004B4E6E"/>
    <w:rsid w:val="004B7C0C"/>
    <w:rsid w:val="004C2DB9"/>
    <w:rsid w:val="004C3898"/>
    <w:rsid w:val="004C38B2"/>
    <w:rsid w:val="004C3DDB"/>
    <w:rsid w:val="004D313B"/>
    <w:rsid w:val="004D36B1"/>
    <w:rsid w:val="004D7EBD"/>
    <w:rsid w:val="004E00E1"/>
    <w:rsid w:val="004E1799"/>
    <w:rsid w:val="004E2680"/>
    <w:rsid w:val="004E28F9"/>
    <w:rsid w:val="004E34AD"/>
    <w:rsid w:val="004E3DA1"/>
    <w:rsid w:val="004E462E"/>
    <w:rsid w:val="004E56DC"/>
    <w:rsid w:val="004E76F4"/>
    <w:rsid w:val="004F0B4E"/>
    <w:rsid w:val="004F0B6C"/>
    <w:rsid w:val="004F2078"/>
    <w:rsid w:val="004F2A3A"/>
    <w:rsid w:val="004F4DA3"/>
    <w:rsid w:val="004F4ED0"/>
    <w:rsid w:val="00500CE5"/>
    <w:rsid w:val="00506557"/>
    <w:rsid w:val="0050677A"/>
    <w:rsid w:val="005108D8"/>
    <w:rsid w:val="0051165C"/>
    <w:rsid w:val="005116F9"/>
    <w:rsid w:val="0051203D"/>
    <w:rsid w:val="005153A7"/>
    <w:rsid w:val="00515DA8"/>
    <w:rsid w:val="00516C52"/>
    <w:rsid w:val="00517250"/>
    <w:rsid w:val="00520617"/>
    <w:rsid w:val="005219CF"/>
    <w:rsid w:val="00521FE6"/>
    <w:rsid w:val="005238C1"/>
    <w:rsid w:val="00524564"/>
    <w:rsid w:val="00524EE8"/>
    <w:rsid w:val="00532471"/>
    <w:rsid w:val="00534B59"/>
    <w:rsid w:val="00536759"/>
    <w:rsid w:val="00537908"/>
    <w:rsid w:val="00537C62"/>
    <w:rsid w:val="0054185D"/>
    <w:rsid w:val="00542A6A"/>
    <w:rsid w:val="00544B7D"/>
    <w:rsid w:val="00546970"/>
    <w:rsid w:val="00554E19"/>
    <w:rsid w:val="0056121F"/>
    <w:rsid w:val="005660F3"/>
    <w:rsid w:val="005662B8"/>
    <w:rsid w:val="00570AF3"/>
    <w:rsid w:val="00572505"/>
    <w:rsid w:val="00576E35"/>
    <w:rsid w:val="00582809"/>
    <w:rsid w:val="00583F06"/>
    <w:rsid w:val="0058798C"/>
    <w:rsid w:val="005900FA"/>
    <w:rsid w:val="005928C6"/>
    <w:rsid w:val="005935A4"/>
    <w:rsid w:val="005948C2"/>
    <w:rsid w:val="00595DCA"/>
    <w:rsid w:val="00595F11"/>
    <w:rsid w:val="005970BD"/>
    <w:rsid w:val="0059779B"/>
    <w:rsid w:val="005A209A"/>
    <w:rsid w:val="005A4D73"/>
    <w:rsid w:val="005A5FA4"/>
    <w:rsid w:val="005A662D"/>
    <w:rsid w:val="005B06D4"/>
    <w:rsid w:val="005B35D7"/>
    <w:rsid w:val="005B392A"/>
    <w:rsid w:val="005B3AA3"/>
    <w:rsid w:val="005B450E"/>
    <w:rsid w:val="005B591A"/>
    <w:rsid w:val="005B6F83"/>
    <w:rsid w:val="005C52CB"/>
    <w:rsid w:val="005C6264"/>
    <w:rsid w:val="005C74FB"/>
    <w:rsid w:val="005D1602"/>
    <w:rsid w:val="005D755D"/>
    <w:rsid w:val="005E385F"/>
    <w:rsid w:val="005E5B81"/>
    <w:rsid w:val="005E7C66"/>
    <w:rsid w:val="005F1306"/>
    <w:rsid w:val="005F2CB1"/>
    <w:rsid w:val="005F3025"/>
    <w:rsid w:val="005F360F"/>
    <w:rsid w:val="005F618C"/>
    <w:rsid w:val="005F70BD"/>
    <w:rsid w:val="0060283C"/>
    <w:rsid w:val="00604AF9"/>
    <w:rsid w:val="00604B6A"/>
    <w:rsid w:val="00604F14"/>
    <w:rsid w:val="00611B83"/>
    <w:rsid w:val="00613257"/>
    <w:rsid w:val="00615854"/>
    <w:rsid w:val="00615E98"/>
    <w:rsid w:val="00620A71"/>
    <w:rsid w:val="00620D80"/>
    <w:rsid w:val="006234A6"/>
    <w:rsid w:val="00630001"/>
    <w:rsid w:val="00630B49"/>
    <w:rsid w:val="006311B3"/>
    <w:rsid w:val="00631CA0"/>
    <w:rsid w:val="00631EA0"/>
    <w:rsid w:val="0063284C"/>
    <w:rsid w:val="00636398"/>
    <w:rsid w:val="006368D3"/>
    <w:rsid w:val="00637432"/>
    <w:rsid w:val="006377EC"/>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2BA"/>
    <w:rsid w:val="00670922"/>
    <w:rsid w:val="00670BE1"/>
    <w:rsid w:val="0067218F"/>
    <w:rsid w:val="006741F2"/>
    <w:rsid w:val="0067471C"/>
    <w:rsid w:val="00674CC3"/>
    <w:rsid w:val="00675C72"/>
    <w:rsid w:val="006771F9"/>
    <w:rsid w:val="006776D7"/>
    <w:rsid w:val="00681003"/>
    <w:rsid w:val="006817C9"/>
    <w:rsid w:val="00682DE6"/>
    <w:rsid w:val="00683ECE"/>
    <w:rsid w:val="00690DF1"/>
    <w:rsid w:val="006914C4"/>
    <w:rsid w:val="006937A5"/>
    <w:rsid w:val="0069573D"/>
    <w:rsid w:val="00695FC2"/>
    <w:rsid w:val="00696949"/>
    <w:rsid w:val="00697052"/>
    <w:rsid w:val="006A1D3A"/>
    <w:rsid w:val="006A2FDA"/>
    <w:rsid w:val="006A46FB"/>
    <w:rsid w:val="006A5E28"/>
    <w:rsid w:val="006A697B"/>
    <w:rsid w:val="006A6C98"/>
    <w:rsid w:val="006A7AFF"/>
    <w:rsid w:val="006B0857"/>
    <w:rsid w:val="006B1816"/>
    <w:rsid w:val="006B2099"/>
    <w:rsid w:val="006B50CF"/>
    <w:rsid w:val="006C03B8"/>
    <w:rsid w:val="006C398B"/>
    <w:rsid w:val="006C48A3"/>
    <w:rsid w:val="006C5EC9"/>
    <w:rsid w:val="006C6059"/>
    <w:rsid w:val="006C7132"/>
    <w:rsid w:val="006C7522"/>
    <w:rsid w:val="006D42A2"/>
    <w:rsid w:val="006D56DE"/>
    <w:rsid w:val="006D6F08"/>
    <w:rsid w:val="006D7607"/>
    <w:rsid w:val="006E02B2"/>
    <w:rsid w:val="006E062C"/>
    <w:rsid w:val="006E1C43"/>
    <w:rsid w:val="006E28B7"/>
    <w:rsid w:val="006E3310"/>
    <w:rsid w:val="006E4E39"/>
    <w:rsid w:val="006E52F0"/>
    <w:rsid w:val="006E565E"/>
    <w:rsid w:val="006E673D"/>
    <w:rsid w:val="006E6DDA"/>
    <w:rsid w:val="006E7D3B"/>
    <w:rsid w:val="006F1B70"/>
    <w:rsid w:val="006F341D"/>
    <w:rsid w:val="006F3CDE"/>
    <w:rsid w:val="006F578E"/>
    <w:rsid w:val="006F58D4"/>
    <w:rsid w:val="006F7D57"/>
    <w:rsid w:val="00700472"/>
    <w:rsid w:val="0070346E"/>
    <w:rsid w:val="00704EDB"/>
    <w:rsid w:val="00706101"/>
    <w:rsid w:val="00707072"/>
    <w:rsid w:val="00707D61"/>
    <w:rsid w:val="007119FD"/>
    <w:rsid w:val="00712287"/>
    <w:rsid w:val="00712772"/>
    <w:rsid w:val="007148D3"/>
    <w:rsid w:val="00715B9A"/>
    <w:rsid w:val="00715BC3"/>
    <w:rsid w:val="00726EA6"/>
    <w:rsid w:val="00727208"/>
    <w:rsid w:val="00727680"/>
    <w:rsid w:val="0073204F"/>
    <w:rsid w:val="0073224A"/>
    <w:rsid w:val="007348B1"/>
    <w:rsid w:val="007362A6"/>
    <w:rsid w:val="00736D7D"/>
    <w:rsid w:val="00740E58"/>
    <w:rsid w:val="007445A0"/>
    <w:rsid w:val="00744FC7"/>
    <w:rsid w:val="0074524B"/>
    <w:rsid w:val="00747D8B"/>
    <w:rsid w:val="00751228"/>
    <w:rsid w:val="00751FE3"/>
    <w:rsid w:val="00754241"/>
    <w:rsid w:val="00754251"/>
    <w:rsid w:val="00754930"/>
    <w:rsid w:val="007565EA"/>
    <w:rsid w:val="007571E1"/>
    <w:rsid w:val="007604B2"/>
    <w:rsid w:val="00765281"/>
    <w:rsid w:val="00766BAD"/>
    <w:rsid w:val="007725D7"/>
    <w:rsid w:val="00772E4B"/>
    <w:rsid w:val="007730BD"/>
    <w:rsid w:val="007755F2"/>
    <w:rsid w:val="00776971"/>
    <w:rsid w:val="00777A9B"/>
    <w:rsid w:val="00780A21"/>
    <w:rsid w:val="0078177E"/>
    <w:rsid w:val="0078304C"/>
    <w:rsid w:val="00783673"/>
    <w:rsid w:val="00785490"/>
    <w:rsid w:val="007925EA"/>
    <w:rsid w:val="00793CD8"/>
    <w:rsid w:val="00794591"/>
    <w:rsid w:val="00795C92"/>
    <w:rsid w:val="00796231"/>
    <w:rsid w:val="007A1CB3"/>
    <w:rsid w:val="007A306F"/>
    <w:rsid w:val="007A43A6"/>
    <w:rsid w:val="007A58A6"/>
    <w:rsid w:val="007A6BF3"/>
    <w:rsid w:val="007B1221"/>
    <w:rsid w:val="007B1916"/>
    <w:rsid w:val="007B3D2D"/>
    <w:rsid w:val="007B50AE"/>
    <w:rsid w:val="007B51DF"/>
    <w:rsid w:val="007B77C3"/>
    <w:rsid w:val="007C05DD"/>
    <w:rsid w:val="007C1ED5"/>
    <w:rsid w:val="007C39F3"/>
    <w:rsid w:val="007C3D18"/>
    <w:rsid w:val="007C60BF"/>
    <w:rsid w:val="007C6A07"/>
    <w:rsid w:val="007C75A1"/>
    <w:rsid w:val="007C77A5"/>
    <w:rsid w:val="007D04E5"/>
    <w:rsid w:val="007D5901"/>
    <w:rsid w:val="007D6FF5"/>
    <w:rsid w:val="007D7526"/>
    <w:rsid w:val="007E4610"/>
    <w:rsid w:val="007E4715"/>
    <w:rsid w:val="007E505B"/>
    <w:rsid w:val="007E7091"/>
    <w:rsid w:val="007F0B74"/>
    <w:rsid w:val="007F0F93"/>
    <w:rsid w:val="007F424C"/>
    <w:rsid w:val="007F4B1B"/>
    <w:rsid w:val="00803FAE"/>
    <w:rsid w:val="00804482"/>
    <w:rsid w:val="00804912"/>
    <w:rsid w:val="0080605F"/>
    <w:rsid w:val="00807786"/>
    <w:rsid w:val="00810D88"/>
    <w:rsid w:val="00811FCB"/>
    <w:rsid w:val="00814DD7"/>
    <w:rsid w:val="008158D6"/>
    <w:rsid w:val="00817196"/>
    <w:rsid w:val="008235DB"/>
    <w:rsid w:val="00824AB4"/>
    <w:rsid w:val="00825C42"/>
    <w:rsid w:val="00825D25"/>
    <w:rsid w:val="00826A8D"/>
    <w:rsid w:val="00827D6F"/>
    <w:rsid w:val="00831E78"/>
    <w:rsid w:val="0083299B"/>
    <w:rsid w:val="008348DD"/>
    <w:rsid w:val="008376AC"/>
    <w:rsid w:val="00840752"/>
    <w:rsid w:val="0084124A"/>
    <w:rsid w:val="008444E8"/>
    <w:rsid w:val="00844E80"/>
    <w:rsid w:val="00845DA9"/>
    <w:rsid w:val="00846901"/>
    <w:rsid w:val="00846FE7"/>
    <w:rsid w:val="00854F97"/>
    <w:rsid w:val="00856911"/>
    <w:rsid w:val="0085736D"/>
    <w:rsid w:val="008677FD"/>
    <w:rsid w:val="008706D4"/>
    <w:rsid w:val="00870F8A"/>
    <w:rsid w:val="008719A4"/>
    <w:rsid w:val="00871D23"/>
    <w:rsid w:val="00874312"/>
    <w:rsid w:val="0087437C"/>
    <w:rsid w:val="008752C4"/>
    <w:rsid w:val="00875CD7"/>
    <w:rsid w:val="00876B4D"/>
    <w:rsid w:val="00877F18"/>
    <w:rsid w:val="008873C3"/>
    <w:rsid w:val="00887824"/>
    <w:rsid w:val="008925E0"/>
    <w:rsid w:val="00894A88"/>
    <w:rsid w:val="00895386"/>
    <w:rsid w:val="00897258"/>
    <w:rsid w:val="008A1C0D"/>
    <w:rsid w:val="008A21FF"/>
    <w:rsid w:val="008A2CE2"/>
    <w:rsid w:val="008A30AC"/>
    <w:rsid w:val="008A44B8"/>
    <w:rsid w:val="008A51A8"/>
    <w:rsid w:val="008A54C7"/>
    <w:rsid w:val="008A64E9"/>
    <w:rsid w:val="008A77D8"/>
    <w:rsid w:val="008B0483"/>
    <w:rsid w:val="008B120C"/>
    <w:rsid w:val="008B262B"/>
    <w:rsid w:val="008B387E"/>
    <w:rsid w:val="008B4024"/>
    <w:rsid w:val="008B480A"/>
    <w:rsid w:val="008B51A0"/>
    <w:rsid w:val="008B592A"/>
    <w:rsid w:val="008B6679"/>
    <w:rsid w:val="008B767B"/>
    <w:rsid w:val="008B7B5C"/>
    <w:rsid w:val="008C0C99"/>
    <w:rsid w:val="008C2017"/>
    <w:rsid w:val="008C4958"/>
    <w:rsid w:val="008C4BAA"/>
    <w:rsid w:val="008C5DDF"/>
    <w:rsid w:val="008C6AE8"/>
    <w:rsid w:val="008C7573"/>
    <w:rsid w:val="008D023F"/>
    <w:rsid w:val="008D22AC"/>
    <w:rsid w:val="008D34F1"/>
    <w:rsid w:val="008D39D8"/>
    <w:rsid w:val="008D6D1A"/>
    <w:rsid w:val="008D6F7B"/>
    <w:rsid w:val="008E065E"/>
    <w:rsid w:val="008E0927"/>
    <w:rsid w:val="008E1909"/>
    <w:rsid w:val="008E21BF"/>
    <w:rsid w:val="008E69A8"/>
    <w:rsid w:val="008E7751"/>
    <w:rsid w:val="008E7B70"/>
    <w:rsid w:val="008E7E93"/>
    <w:rsid w:val="008F0FDE"/>
    <w:rsid w:val="008F118A"/>
    <w:rsid w:val="008F1EAB"/>
    <w:rsid w:val="008F33DC"/>
    <w:rsid w:val="008F477F"/>
    <w:rsid w:val="008F6704"/>
    <w:rsid w:val="008F7909"/>
    <w:rsid w:val="00902350"/>
    <w:rsid w:val="0090336B"/>
    <w:rsid w:val="00904750"/>
    <w:rsid w:val="009053AA"/>
    <w:rsid w:val="00906939"/>
    <w:rsid w:val="00910B7D"/>
    <w:rsid w:val="00911DFB"/>
    <w:rsid w:val="009131D8"/>
    <w:rsid w:val="009139D9"/>
    <w:rsid w:val="00914AD8"/>
    <w:rsid w:val="00914DB8"/>
    <w:rsid w:val="00915B81"/>
    <w:rsid w:val="00916079"/>
    <w:rsid w:val="00917CE9"/>
    <w:rsid w:val="00920BF2"/>
    <w:rsid w:val="00921C7A"/>
    <w:rsid w:val="00922010"/>
    <w:rsid w:val="00923631"/>
    <w:rsid w:val="00930085"/>
    <w:rsid w:val="00930C80"/>
    <w:rsid w:val="00931BD9"/>
    <w:rsid w:val="00932BD7"/>
    <w:rsid w:val="0093476D"/>
    <w:rsid w:val="00934FC4"/>
    <w:rsid w:val="0093618F"/>
    <w:rsid w:val="0093632A"/>
    <w:rsid w:val="009368F3"/>
    <w:rsid w:val="00940425"/>
    <w:rsid w:val="00941075"/>
    <w:rsid w:val="0094159A"/>
    <w:rsid w:val="00941636"/>
    <w:rsid w:val="00943742"/>
    <w:rsid w:val="00944A83"/>
    <w:rsid w:val="00945C05"/>
    <w:rsid w:val="00946945"/>
    <w:rsid w:val="00946D82"/>
    <w:rsid w:val="00947713"/>
    <w:rsid w:val="00950DE7"/>
    <w:rsid w:val="00951A88"/>
    <w:rsid w:val="00953920"/>
    <w:rsid w:val="00953D47"/>
    <w:rsid w:val="00954D8E"/>
    <w:rsid w:val="0095681E"/>
    <w:rsid w:val="009572D4"/>
    <w:rsid w:val="00957DE0"/>
    <w:rsid w:val="00961921"/>
    <w:rsid w:val="00962358"/>
    <w:rsid w:val="0096430A"/>
    <w:rsid w:val="0096554B"/>
    <w:rsid w:val="0096584A"/>
    <w:rsid w:val="009705A9"/>
    <w:rsid w:val="00971F08"/>
    <w:rsid w:val="009730B0"/>
    <w:rsid w:val="00973C52"/>
    <w:rsid w:val="0097603D"/>
    <w:rsid w:val="00976949"/>
    <w:rsid w:val="00980477"/>
    <w:rsid w:val="00981DF8"/>
    <w:rsid w:val="00985253"/>
    <w:rsid w:val="009853B3"/>
    <w:rsid w:val="00987B67"/>
    <w:rsid w:val="00990630"/>
    <w:rsid w:val="00991761"/>
    <w:rsid w:val="00994DCA"/>
    <w:rsid w:val="009960EC"/>
    <w:rsid w:val="009970DD"/>
    <w:rsid w:val="009A0FBA"/>
    <w:rsid w:val="009A1601"/>
    <w:rsid w:val="009A30D0"/>
    <w:rsid w:val="009A462D"/>
    <w:rsid w:val="009A5CBA"/>
    <w:rsid w:val="009B0950"/>
    <w:rsid w:val="009B1F30"/>
    <w:rsid w:val="009B3AC2"/>
    <w:rsid w:val="009B3F34"/>
    <w:rsid w:val="009B4DF4"/>
    <w:rsid w:val="009B5079"/>
    <w:rsid w:val="009B5172"/>
    <w:rsid w:val="009B564E"/>
    <w:rsid w:val="009B7E87"/>
    <w:rsid w:val="009B7F8C"/>
    <w:rsid w:val="009C403E"/>
    <w:rsid w:val="009C6957"/>
    <w:rsid w:val="009D40C7"/>
    <w:rsid w:val="009D4A50"/>
    <w:rsid w:val="009D4FF0"/>
    <w:rsid w:val="009D703C"/>
    <w:rsid w:val="009D718F"/>
    <w:rsid w:val="009E05D7"/>
    <w:rsid w:val="009E068F"/>
    <w:rsid w:val="009E14E0"/>
    <w:rsid w:val="009E35DB"/>
    <w:rsid w:val="009E47A3"/>
    <w:rsid w:val="009E65D9"/>
    <w:rsid w:val="009E781D"/>
    <w:rsid w:val="009F08F3"/>
    <w:rsid w:val="009F1D1D"/>
    <w:rsid w:val="009F344F"/>
    <w:rsid w:val="009F4B02"/>
    <w:rsid w:val="009F561F"/>
    <w:rsid w:val="00A0161C"/>
    <w:rsid w:val="00A024AC"/>
    <w:rsid w:val="00A0390A"/>
    <w:rsid w:val="00A048A8"/>
    <w:rsid w:val="00A04F49"/>
    <w:rsid w:val="00A05309"/>
    <w:rsid w:val="00A1238E"/>
    <w:rsid w:val="00A13E54"/>
    <w:rsid w:val="00A17F63"/>
    <w:rsid w:val="00A2052C"/>
    <w:rsid w:val="00A2193B"/>
    <w:rsid w:val="00A22C5A"/>
    <w:rsid w:val="00A22E4E"/>
    <w:rsid w:val="00A2351A"/>
    <w:rsid w:val="00A236A0"/>
    <w:rsid w:val="00A2419F"/>
    <w:rsid w:val="00A264A9"/>
    <w:rsid w:val="00A27785"/>
    <w:rsid w:val="00A27CDC"/>
    <w:rsid w:val="00A30187"/>
    <w:rsid w:val="00A32DC9"/>
    <w:rsid w:val="00A3448A"/>
    <w:rsid w:val="00A34DA4"/>
    <w:rsid w:val="00A36297"/>
    <w:rsid w:val="00A3681C"/>
    <w:rsid w:val="00A36BCC"/>
    <w:rsid w:val="00A36CF9"/>
    <w:rsid w:val="00A41E2B"/>
    <w:rsid w:val="00A459EE"/>
    <w:rsid w:val="00A45B74"/>
    <w:rsid w:val="00A52E1D"/>
    <w:rsid w:val="00A56FCC"/>
    <w:rsid w:val="00A61499"/>
    <w:rsid w:val="00A625E1"/>
    <w:rsid w:val="00A62A77"/>
    <w:rsid w:val="00A63483"/>
    <w:rsid w:val="00A657D7"/>
    <w:rsid w:val="00A660AC"/>
    <w:rsid w:val="00A66F55"/>
    <w:rsid w:val="00A67E6C"/>
    <w:rsid w:val="00A71A4A"/>
    <w:rsid w:val="00A71B99"/>
    <w:rsid w:val="00A72CBC"/>
    <w:rsid w:val="00A739D0"/>
    <w:rsid w:val="00A73C72"/>
    <w:rsid w:val="00A75D1D"/>
    <w:rsid w:val="00A761D4"/>
    <w:rsid w:val="00A77EC4"/>
    <w:rsid w:val="00A8593C"/>
    <w:rsid w:val="00A92879"/>
    <w:rsid w:val="00A9442A"/>
    <w:rsid w:val="00AA016F"/>
    <w:rsid w:val="00AA0F7D"/>
    <w:rsid w:val="00AA1ED6"/>
    <w:rsid w:val="00AA2739"/>
    <w:rsid w:val="00AA40CC"/>
    <w:rsid w:val="00AA51D6"/>
    <w:rsid w:val="00AA53AE"/>
    <w:rsid w:val="00AA6158"/>
    <w:rsid w:val="00AA71AD"/>
    <w:rsid w:val="00AB0BC8"/>
    <w:rsid w:val="00AB11CA"/>
    <w:rsid w:val="00AB14D9"/>
    <w:rsid w:val="00AB4AB8"/>
    <w:rsid w:val="00AB655E"/>
    <w:rsid w:val="00AB77B4"/>
    <w:rsid w:val="00AB7932"/>
    <w:rsid w:val="00AB7C2B"/>
    <w:rsid w:val="00AC007F"/>
    <w:rsid w:val="00AC2ECD"/>
    <w:rsid w:val="00AC3119"/>
    <w:rsid w:val="00AC49FB"/>
    <w:rsid w:val="00AC5A10"/>
    <w:rsid w:val="00AC7331"/>
    <w:rsid w:val="00AD0AA3"/>
    <w:rsid w:val="00AD2E72"/>
    <w:rsid w:val="00AD2FCF"/>
    <w:rsid w:val="00AD3F94"/>
    <w:rsid w:val="00AD4A5A"/>
    <w:rsid w:val="00AD50EB"/>
    <w:rsid w:val="00AE143B"/>
    <w:rsid w:val="00AE1E7A"/>
    <w:rsid w:val="00AE27AC"/>
    <w:rsid w:val="00AE3743"/>
    <w:rsid w:val="00AE40E0"/>
    <w:rsid w:val="00AE4DBA"/>
    <w:rsid w:val="00AE4F07"/>
    <w:rsid w:val="00AF1C5D"/>
    <w:rsid w:val="00AF42D7"/>
    <w:rsid w:val="00B006FE"/>
    <w:rsid w:val="00B007CB"/>
    <w:rsid w:val="00B00E1D"/>
    <w:rsid w:val="00B014BB"/>
    <w:rsid w:val="00B02AA9"/>
    <w:rsid w:val="00B02FA3"/>
    <w:rsid w:val="00B04E2A"/>
    <w:rsid w:val="00B05084"/>
    <w:rsid w:val="00B074A9"/>
    <w:rsid w:val="00B10186"/>
    <w:rsid w:val="00B1180C"/>
    <w:rsid w:val="00B119F7"/>
    <w:rsid w:val="00B157F9"/>
    <w:rsid w:val="00B20256"/>
    <w:rsid w:val="00B20D09"/>
    <w:rsid w:val="00B2202F"/>
    <w:rsid w:val="00B22285"/>
    <w:rsid w:val="00B22B76"/>
    <w:rsid w:val="00B23F8C"/>
    <w:rsid w:val="00B25703"/>
    <w:rsid w:val="00B2763F"/>
    <w:rsid w:val="00B27AAC"/>
    <w:rsid w:val="00B30929"/>
    <w:rsid w:val="00B372AA"/>
    <w:rsid w:val="00B37C5F"/>
    <w:rsid w:val="00B40445"/>
    <w:rsid w:val="00B40694"/>
    <w:rsid w:val="00B41888"/>
    <w:rsid w:val="00B43136"/>
    <w:rsid w:val="00B45A52"/>
    <w:rsid w:val="00B46175"/>
    <w:rsid w:val="00B475E5"/>
    <w:rsid w:val="00B53D99"/>
    <w:rsid w:val="00B54640"/>
    <w:rsid w:val="00B6188F"/>
    <w:rsid w:val="00B6304F"/>
    <w:rsid w:val="00B664C7"/>
    <w:rsid w:val="00B669D6"/>
    <w:rsid w:val="00B701B4"/>
    <w:rsid w:val="00B73333"/>
    <w:rsid w:val="00B735F9"/>
    <w:rsid w:val="00B739F6"/>
    <w:rsid w:val="00B75184"/>
    <w:rsid w:val="00B77A21"/>
    <w:rsid w:val="00B80C45"/>
    <w:rsid w:val="00B81A6C"/>
    <w:rsid w:val="00B854D0"/>
    <w:rsid w:val="00B85DE5"/>
    <w:rsid w:val="00B90F73"/>
    <w:rsid w:val="00B93B59"/>
    <w:rsid w:val="00B9406A"/>
    <w:rsid w:val="00B957A0"/>
    <w:rsid w:val="00BA2280"/>
    <w:rsid w:val="00BA2948"/>
    <w:rsid w:val="00BA2A08"/>
    <w:rsid w:val="00BA2E17"/>
    <w:rsid w:val="00BA56D2"/>
    <w:rsid w:val="00BA76E0"/>
    <w:rsid w:val="00BB18B0"/>
    <w:rsid w:val="00BB2A25"/>
    <w:rsid w:val="00BB3F10"/>
    <w:rsid w:val="00BB51E9"/>
    <w:rsid w:val="00BC0FDC"/>
    <w:rsid w:val="00BC3053"/>
    <w:rsid w:val="00BC4D2E"/>
    <w:rsid w:val="00BD48AC"/>
    <w:rsid w:val="00BD5F1A"/>
    <w:rsid w:val="00BE07E2"/>
    <w:rsid w:val="00BE0BCD"/>
    <w:rsid w:val="00BE1234"/>
    <w:rsid w:val="00BE2FA6"/>
    <w:rsid w:val="00BE333F"/>
    <w:rsid w:val="00BE7406"/>
    <w:rsid w:val="00BE7603"/>
    <w:rsid w:val="00BF01AF"/>
    <w:rsid w:val="00BF0DE8"/>
    <w:rsid w:val="00BF147F"/>
    <w:rsid w:val="00BF3279"/>
    <w:rsid w:val="00BF496C"/>
    <w:rsid w:val="00BF74C7"/>
    <w:rsid w:val="00C015F1"/>
    <w:rsid w:val="00C01F33"/>
    <w:rsid w:val="00C02CC6"/>
    <w:rsid w:val="00C03A4F"/>
    <w:rsid w:val="00C040F7"/>
    <w:rsid w:val="00C041B0"/>
    <w:rsid w:val="00C044AB"/>
    <w:rsid w:val="00C0526C"/>
    <w:rsid w:val="00C05706"/>
    <w:rsid w:val="00C07377"/>
    <w:rsid w:val="00C10478"/>
    <w:rsid w:val="00C12107"/>
    <w:rsid w:val="00C125FF"/>
    <w:rsid w:val="00C12A02"/>
    <w:rsid w:val="00C14D4B"/>
    <w:rsid w:val="00C154BB"/>
    <w:rsid w:val="00C21DCB"/>
    <w:rsid w:val="00C24345"/>
    <w:rsid w:val="00C25B3A"/>
    <w:rsid w:val="00C279B5"/>
    <w:rsid w:val="00C27C45"/>
    <w:rsid w:val="00C32BF9"/>
    <w:rsid w:val="00C3719D"/>
    <w:rsid w:val="00C372E0"/>
    <w:rsid w:val="00C41139"/>
    <w:rsid w:val="00C47277"/>
    <w:rsid w:val="00C54995"/>
    <w:rsid w:val="00C54D41"/>
    <w:rsid w:val="00C602BE"/>
    <w:rsid w:val="00C60783"/>
    <w:rsid w:val="00C62DF2"/>
    <w:rsid w:val="00C6429D"/>
    <w:rsid w:val="00C64672"/>
    <w:rsid w:val="00C66B88"/>
    <w:rsid w:val="00C70697"/>
    <w:rsid w:val="00C72066"/>
    <w:rsid w:val="00C72EF4"/>
    <w:rsid w:val="00C75D2F"/>
    <w:rsid w:val="00C767BE"/>
    <w:rsid w:val="00C76E3C"/>
    <w:rsid w:val="00C81568"/>
    <w:rsid w:val="00C8778C"/>
    <w:rsid w:val="00C9027A"/>
    <w:rsid w:val="00C9068E"/>
    <w:rsid w:val="00C90AC6"/>
    <w:rsid w:val="00C90C65"/>
    <w:rsid w:val="00C90EA5"/>
    <w:rsid w:val="00C92A30"/>
    <w:rsid w:val="00C93C4B"/>
    <w:rsid w:val="00C944AB"/>
    <w:rsid w:val="00C94BAE"/>
    <w:rsid w:val="00C95B40"/>
    <w:rsid w:val="00C97E18"/>
    <w:rsid w:val="00CA1ED8"/>
    <w:rsid w:val="00CA248C"/>
    <w:rsid w:val="00CA4571"/>
    <w:rsid w:val="00CA5CA8"/>
    <w:rsid w:val="00CB1F63"/>
    <w:rsid w:val="00CB4A88"/>
    <w:rsid w:val="00CB7170"/>
    <w:rsid w:val="00CC040E"/>
    <w:rsid w:val="00CC111F"/>
    <w:rsid w:val="00CC2011"/>
    <w:rsid w:val="00CC3EA0"/>
    <w:rsid w:val="00CC7B45"/>
    <w:rsid w:val="00CD1188"/>
    <w:rsid w:val="00CD2ED1"/>
    <w:rsid w:val="00CD337B"/>
    <w:rsid w:val="00CD3CEE"/>
    <w:rsid w:val="00CD752C"/>
    <w:rsid w:val="00CE0424"/>
    <w:rsid w:val="00CE0995"/>
    <w:rsid w:val="00CE4F87"/>
    <w:rsid w:val="00CE7561"/>
    <w:rsid w:val="00CF1354"/>
    <w:rsid w:val="00CF2EBC"/>
    <w:rsid w:val="00CF3B1F"/>
    <w:rsid w:val="00CF3BF6"/>
    <w:rsid w:val="00CF43FC"/>
    <w:rsid w:val="00CF625B"/>
    <w:rsid w:val="00CF687E"/>
    <w:rsid w:val="00D0349B"/>
    <w:rsid w:val="00D10249"/>
    <w:rsid w:val="00D10AEF"/>
    <w:rsid w:val="00D115C3"/>
    <w:rsid w:val="00D11897"/>
    <w:rsid w:val="00D11AD3"/>
    <w:rsid w:val="00D13135"/>
    <w:rsid w:val="00D13482"/>
    <w:rsid w:val="00D13E4E"/>
    <w:rsid w:val="00D1511B"/>
    <w:rsid w:val="00D1654C"/>
    <w:rsid w:val="00D239A7"/>
    <w:rsid w:val="00D23F47"/>
    <w:rsid w:val="00D27916"/>
    <w:rsid w:val="00D30244"/>
    <w:rsid w:val="00D305E5"/>
    <w:rsid w:val="00D315DF"/>
    <w:rsid w:val="00D317A6"/>
    <w:rsid w:val="00D337A3"/>
    <w:rsid w:val="00D36E71"/>
    <w:rsid w:val="00D37D87"/>
    <w:rsid w:val="00D40A02"/>
    <w:rsid w:val="00D40B33"/>
    <w:rsid w:val="00D429F7"/>
    <w:rsid w:val="00D4318F"/>
    <w:rsid w:val="00D438BF"/>
    <w:rsid w:val="00D440F8"/>
    <w:rsid w:val="00D50F97"/>
    <w:rsid w:val="00D546FF"/>
    <w:rsid w:val="00D55AD5"/>
    <w:rsid w:val="00D56E57"/>
    <w:rsid w:val="00D570C5"/>
    <w:rsid w:val="00D575C7"/>
    <w:rsid w:val="00D576CA"/>
    <w:rsid w:val="00D61AF5"/>
    <w:rsid w:val="00D64850"/>
    <w:rsid w:val="00D652B5"/>
    <w:rsid w:val="00D65F58"/>
    <w:rsid w:val="00D66155"/>
    <w:rsid w:val="00D708B0"/>
    <w:rsid w:val="00D75530"/>
    <w:rsid w:val="00D77B1D"/>
    <w:rsid w:val="00D8021F"/>
    <w:rsid w:val="00D80383"/>
    <w:rsid w:val="00D823C6"/>
    <w:rsid w:val="00D8333A"/>
    <w:rsid w:val="00D83C3A"/>
    <w:rsid w:val="00D859BC"/>
    <w:rsid w:val="00D86CA3"/>
    <w:rsid w:val="00D86D87"/>
    <w:rsid w:val="00D871CE"/>
    <w:rsid w:val="00D87F1F"/>
    <w:rsid w:val="00D9196D"/>
    <w:rsid w:val="00D92982"/>
    <w:rsid w:val="00D93A93"/>
    <w:rsid w:val="00D96D86"/>
    <w:rsid w:val="00DA077A"/>
    <w:rsid w:val="00DA305E"/>
    <w:rsid w:val="00DA5417"/>
    <w:rsid w:val="00DA56E8"/>
    <w:rsid w:val="00DA6961"/>
    <w:rsid w:val="00DA7A94"/>
    <w:rsid w:val="00DB0814"/>
    <w:rsid w:val="00DB0A9F"/>
    <w:rsid w:val="00DB377D"/>
    <w:rsid w:val="00DB6CFF"/>
    <w:rsid w:val="00DC2D36"/>
    <w:rsid w:val="00DC53EF"/>
    <w:rsid w:val="00DD226D"/>
    <w:rsid w:val="00DD37AB"/>
    <w:rsid w:val="00DE29A9"/>
    <w:rsid w:val="00DE41DB"/>
    <w:rsid w:val="00DE5608"/>
    <w:rsid w:val="00DE58D0"/>
    <w:rsid w:val="00DE654F"/>
    <w:rsid w:val="00DF0B6E"/>
    <w:rsid w:val="00DF15E0"/>
    <w:rsid w:val="00DF1781"/>
    <w:rsid w:val="00DF37A0"/>
    <w:rsid w:val="00E05EDE"/>
    <w:rsid w:val="00E110E7"/>
    <w:rsid w:val="00E11163"/>
    <w:rsid w:val="00E11B20"/>
    <w:rsid w:val="00E1523B"/>
    <w:rsid w:val="00E15569"/>
    <w:rsid w:val="00E17FA2"/>
    <w:rsid w:val="00E22330"/>
    <w:rsid w:val="00E22D88"/>
    <w:rsid w:val="00E262AA"/>
    <w:rsid w:val="00E30B5A"/>
    <w:rsid w:val="00E3123D"/>
    <w:rsid w:val="00E31461"/>
    <w:rsid w:val="00E31D43"/>
    <w:rsid w:val="00E32608"/>
    <w:rsid w:val="00E34188"/>
    <w:rsid w:val="00E34938"/>
    <w:rsid w:val="00E34B6E"/>
    <w:rsid w:val="00E35559"/>
    <w:rsid w:val="00E3723A"/>
    <w:rsid w:val="00E37860"/>
    <w:rsid w:val="00E40888"/>
    <w:rsid w:val="00E41919"/>
    <w:rsid w:val="00E42451"/>
    <w:rsid w:val="00E4375A"/>
    <w:rsid w:val="00E437DE"/>
    <w:rsid w:val="00E44147"/>
    <w:rsid w:val="00E446F1"/>
    <w:rsid w:val="00E4543C"/>
    <w:rsid w:val="00E455B3"/>
    <w:rsid w:val="00E46886"/>
    <w:rsid w:val="00E47AEF"/>
    <w:rsid w:val="00E50DFB"/>
    <w:rsid w:val="00E53B75"/>
    <w:rsid w:val="00E54E3B"/>
    <w:rsid w:val="00E57565"/>
    <w:rsid w:val="00E62828"/>
    <w:rsid w:val="00E63838"/>
    <w:rsid w:val="00E639F0"/>
    <w:rsid w:val="00E64434"/>
    <w:rsid w:val="00E65342"/>
    <w:rsid w:val="00E67C51"/>
    <w:rsid w:val="00E72EFC"/>
    <w:rsid w:val="00E758EC"/>
    <w:rsid w:val="00E77D16"/>
    <w:rsid w:val="00E8234C"/>
    <w:rsid w:val="00E83AA9"/>
    <w:rsid w:val="00E83EB6"/>
    <w:rsid w:val="00E85928"/>
    <w:rsid w:val="00E87822"/>
    <w:rsid w:val="00E90395"/>
    <w:rsid w:val="00E90E49"/>
    <w:rsid w:val="00E917F9"/>
    <w:rsid w:val="00E9291C"/>
    <w:rsid w:val="00E92CE2"/>
    <w:rsid w:val="00E93FFE"/>
    <w:rsid w:val="00E94228"/>
    <w:rsid w:val="00E94F8A"/>
    <w:rsid w:val="00E97142"/>
    <w:rsid w:val="00EA385C"/>
    <w:rsid w:val="00EA671D"/>
    <w:rsid w:val="00EA7A41"/>
    <w:rsid w:val="00EB077B"/>
    <w:rsid w:val="00EB4EA2"/>
    <w:rsid w:val="00EB648E"/>
    <w:rsid w:val="00EC279C"/>
    <w:rsid w:val="00EC27C6"/>
    <w:rsid w:val="00EC2DDF"/>
    <w:rsid w:val="00EC4207"/>
    <w:rsid w:val="00EC5653"/>
    <w:rsid w:val="00EC71CE"/>
    <w:rsid w:val="00ED1006"/>
    <w:rsid w:val="00ED7379"/>
    <w:rsid w:val="00EF1031"/>
    <w:rsid w:val="00EF18FE"/>
    <w:rsid w:val="00EF5787"/>
    <w:rsid w:val="00EF60D0"/>
    <w:rsid w:val="00F044C9"/>
    <w:rsid w:val="00F0528D"/>
    <w:rsid w:val="00F05D90"/>
    <w:rsid w:val="00F06C67"/>
    <w:rsid w:val="00F06DFD"/>
    <w:rsid w:val="00F06E80"/>
    <w:rsid w:val="00F071D1"/>
    <w:rsid w:val="00F07533"/>
    <w:rsid w:val="00F07CF6"/>
    <w:rsid w:val="00F10629"/>
    <w:rsid w:val="00F138FC"/>
    <w:rsid w:val="00F15FA5"/>
    <w:rsid w:val="00F169B9"/>
    <w:rsid w:val="00F17696"/>
    <w:rsid w:val="00F209B7"/>
    <w:rsid w:val="00F20C27"/>
    <w:rsid w:val="00F217B1"/>
    <w:rsid w:val="00F220D6"/>
    <w:rsid w:val="00F2376F"/>
    <w:rsid w:val="00F23FD6"/>
    <w:rsid w:val="00F243D8"/>
    <w:rsid w:val="00F27B37"/>
    <w:rsid w:val="00F30828"/>
    <w:rsid w:val="00F313D6"/>
    <w:rsid w:val="00F319A3"/>
    <w:rsid w:val="00F319F1"/>
    <w:rsid w:val="00F32804"/>
    <w:rsid w:val="00F37407"/>
    <w:rsid w:val="00F40F0C"/>
    <w:rsid w:val="00F411F6"/>
    <w:rsid w:val="00F417E8"/>
    <w:rsid w:val="00F44B7B"/>
    <w:rsid w:val="00F4766C"/>
    <w:rsid w:val="00F507D1"/>
    <w:rsid w:val="00F519CE"/>
    <w:rsid w:val="00F51ADA"/>
    <w:rsid w:val="00F54B1A"/>
    <w:rsid w:val="00F54DA9"/>
    <w:rsid w:val="00F607C5"/>
    <w:rsid w:val="00F60DEA"/>
    <w:rsid w:val="00F6302A"/>
    <w:rsid w:val="00F6337D"/>
    <w:rsid w:val="00F64C2B"/>
    <w:rsid w:val="00F651BE"/>
    <w:rsid w:val="00F6619E"/>
    <w:rsid w:val="00F67F53"/>
    <w:rsid w:val="00F703BE"/>
    <w:rsid w:val="00F71F69"/>
    <w:rsid w:val="00F72B72"/>
    <w:rsid w:val="00F74BB9"/>
    <w:rsid w:val="00F75582"/>
    <w:rsid w:val="00F76B67"/>
    <w:rsid w:val="00F76EFA"/>
    <w:rsid w:val="00F804BE"/>
    <w:rsid w:val="00F817CE"/>
    <w:rsid w:val="00F8456C"/>
    <w:rsid w:val="00F859D8"/>
    <w:rsid w:val="00F868F5"/>
    <w:rsid w:val="00F8762A"/>
    <w:rsid w:val="00F9056A"/>
    <w:rsid w:val="00F90C1C"/>
    <w:rsid w:val="00F90F8D"/>
    <w:rsid w:val="00F92782"/>
    <w:rsid w:val="00F93A23"/>
    <w:rsid w:val="00F93AA9"/>
    <w:rsid w:val="00F96347"/>
    <w:rsid w:val="00F96985"/>
    <w:rsid w:val="00F97838"/>
    <w:rsid w:val="00FA2BB3"/>
    <w:rsid w:val="00FA33A2"/>
    <w:rsid w:val="00FB458A"/>
    <w:rsid w:val="00FB4834"/>
    <w:rsid w:val="00FB4C80"/>
    <w:rsid w:val="00FB5564"/>
    <w:rsid w:val="00FB6A6A"/>
    <w:rsid w:val="00FC13B5"/>
    <w:rsid w:val="00FC2440"/>
    <w:rsid w:val="00FC630D"/>
    <w:rsid w:val="00FC7429"/>
    <w:rsid w:val="00FD017B"/>
    <w:rsid w:val="00FD07F6"/>
    <w:rsid w:val="00FD1EC8"/>
    <w:rsid w:val="00FD24A9"/>
    <w:rsid w:val="00FD283D"/>
    <w:rsid w:val="00FD47ED"/>
    <w:rsid w:val="00FD4BA4"/>
    <w:rsid w:val="00FD74DB"/>
    <w:rsid w:val="00FD7660"/>
    <w:rsid w:val="00FE0655"/>
    <w:rsid w:val="00FE142D"/>
    <w:rsid w:val="00FE2365"/>
    <w:rsid w:val="00FE2BBB"/>
    <w:rsid w:val="00FE4C7B"/>
    <w:rsid w:val="00FE7336"/>
    <w:rsid w:val="00FE787C"/>
    <w:rsid w:val="00FF2215"/>
    <w:rsid w:val="00FF2925"/>
    <w:rsid w:val="00FF45A5"/>
    <w:rsid w:val="00FF5C91"/>
    <w:rsid w:val="00FF74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aliases w:val="cap"/>
    <w:basedOn w:val="Normal"/>
    <w:next w:val="Normal"/>
    <w:link w:val="CaptionChar"/>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link w:val="ReferenceChar"/>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qFormat/>
    <w:rsid w:val="003B1828"/>
    <w:pPr>
      <w:numPr>
        <w:numId w:val="3"/>
      </w:numPr>
      <w:tabs>
        <w:tab w:val="left" w:pos="1701"/>
      </w:tabs>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uiPriority w:val="99"/>
    <w:rsid w:val="00FD24A9"/>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styleId="UnresolvedMention">
    <w:name w:val="Unresolved Mention"/>
    <w:basedOn w:val="DefaultParagraphFont"/>
    <w:uiPriority w:val="99"/>
    <w:semiHidden/>
    <w:unhideWhenUsed/>
    <w:rsid w:val="006E6DDA"/>
    <w:rPr>
      <w:color w:val="605E5C"/>
      <w:shd w:val="clear" w:color="auto" w:fill="E1DFDD"/>
    </w:rPr>
  </w:style>
  <w:style w:type="table" w:styleId="TableGrid">
    <w:name w:val="Table Grid"/>
    <w:basedOn w:val="TableNormal"/>
    <w:uiPriority w:val="39"/>
    <w:rsid w:val="00D317A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ListNumber2"/>
    <w:rsid w:val="00D317A6"/>
    <w:pPr>
      <w:ind w:left="926" w:hanging="360"/>
      <w:contextualSpacing/>
    </w:pPr>
    <w:rPr>
      <w:lang w:eastAsia="ja-JP"/>
    </w:rPr>
  </w:style>
  <w:style w:type="character" w:customStyle="1" w:styleId="CaptionChar">
    <w:name w:val="Caption Char"/>
    <w:aliases w:val="cap Char"/>
    <w:link w:val="Caption"/>
    <w:locked/>
    <w:rsid w:val="00D317A6"/>
    <w:rPr>
      <w:rFonts w:ascii="Arial" w:hAnsi="Arial"/>
      <w:b/>
      <w:bCs/>
      <w:lang w:val="en-GB" w:eastAsia="zh-CN"/>
    </w:rPr>
  </w:style>
  <w:style w:type="character" w:customStyle="1" w:styleId="ReferenceChar">
    <w:name w:val="Reference Char"/>
    <w:link w:val="Reference"/>
    <w:locked/>
    <w:rsid w:val="00C62DF2"/>
    <w:rPr>
      <w:rFonts w:ascii="Arial" w:hAnsi="Arial"/>
      <w:lang w:val="en-GB" w:eastAsia="zh-CN"/>
    </w:rPr>
  </w:style>
  <w:style w:type="paragraph" w:styleId="ListNumber4">
    <w:name w:val="List Number 4"/>
    <w:basedOn w:val="Normal"/>
    <w:rsid w:val="00700472"/>
    <w:pPr>
      <w:numPr>
        <w:numId w:val="43"/>
      </w:numPr>
      <w:tabs>
        <w:tab w:val="left" w:pos="720"/>
        <w:tab w:val="left" w:pos="1209"/>
      </w:tabs>
      <w:spacing w:after="180"/>
      <w:ind w:left="1209"/>
      <w:jc w:val="left"/>
    </w:pPr>
    <w:rPr>
      <w:rFonts w:ascii="Times New Roman" w:eastAsia="MS Mincho" w:hAnsi="Times New Roman"/>
      <w:lang w:eastAsia="en-GB"/>
    </w:rPr>
  </w:style>
  <w:style w:type="character" w:customStyle="1" w:styleId="HeaderChar">
    <w:name w:val="Header Char"/>
    <w:link w:val="Header"/>
    <w:rsid w:val="004741B6"/>
    <w:rPr>
      <w:rFonts w:ascii="Arial" w:hAnsi="Arial" w:cs="Arial"/>
      <w:b/>
      <w:bCs/>
      <w:noProof/>
      <w:sz w:val="18"/>
      <w:szCs w:val="18"/>
      <w:lang w:eastAsia="zh-CN"/>
    </w:rPr>
  </w:style>
  <w:style w:type="paragraph" w:styleId="Revision">
    <w:name w:val="Revision"/>
    <w:hidden/>
    <w:uiPriority w:val="99"/>
    <w:semiHidden/>
    <w:rsid w:val="007565E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8560">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84253789">
      <w:bodyDiv w:val="1"/>
      <w:marLeft w:val="0"/>
      <w:marRight w:val="0"/>
      <w:marTop w:val="0"/>
      <w:marBottom w:val="0"/>
      <w:divBdr>
        <w:top w:val="none" w:sz="0" w:space="0" w:color="auto"/>
        <w:left w:val="none" w:sz="0" w:space="0" w:color="auto"/>
        <w:bottom w:val="none" w:sz="0" w:space="0" w:color="auto"/>
        <w:right w:val="none" w:sz="0" w:space="0" w:color="auto"/>
      </w:divBdr>
    </w:div>
    <w:div w:id="280456325">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31797144">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28560141">
      <w:bodyDiv w:val="1"/>
      <w:marLeft w:val="0"/>
      <w:marRight w:val="0"/>
      <w:marTop w:val="0"/>
      <w:marBottom w:val="0"/>
      <w:divBdr>
        <w:top w:val="none" w:sz="0" w:space="0" w:color="auto"/>
        <w:left w:val="none" w:sz="0" w:space="0" w:color="auto"/>
        <w:bottom w:val="none" w:sz="0" w:space="0" w:color="auto"/>
        <w:right w:val="none" w:sz="0" w:space="0" w:color="auto"/>
      </w:divBdr>
      <w:divsChild>
        <w:div w:id="1012487762">
          <w:marLeft w:val="1699"/>
          <w:marRight w:val="0"/>
          <w:marTop w:val="60"/>
          <w:marBottom w:val="0"/>
          <w:divBdr>
            <w:top w:val="none" w:sz="0" w:space="0" w:color="auto"/>
            <w:left w:val="none" w:sz="0" w:space="0" w:color="auto"/>
            <w:bottom w:val="none" w:sz="0" w:space="0" w:color="auto"/>
            <w:right w:val="none" w:sz="0" w:space="0" w:color="auto"/>
          </w:divBdr>
        </w:div>
        <w:div w:id="592978230">
          <w:marLeft w:val="2261"/>
          <w:marRight w:val="0"/>
          <w:marTop w:val="60"/>
          <w:marBottom w:val="0"/>
          <w:divBdr>
            <w:top w:val="none" w:sz="0" w:space="0" w:color="auto"/>
            <w:left w:val="none" w:sz="0" w:space="0" w:color="auto"/>
            <w:bottom w:val="none" w:sz="0" w:space="0" w:color="auto"/>
            <w:right w:val="none" w:sz="0" w:space="0" w:color="auto"/>
          </w:divBdr>
        </w:div>
        <w:div w:id="1437015545">
          <w:marLeft w:val="1699"/>
          <w:marRight w:val="0"/>
          <w:marTop w:val="60"/>
          <w:marBottom w:val="0"/>
          <w:divBdr>
            <w:top w:val="none" w:sz="0" w:space="0" w:color="auto"/>
            <w:left w:val="none" w:sz="0" w:space="0" w:color="auto"/>
            <w:bottom w:val="none" w:sz="0" w:space="0" w:color="auto"/>
            <w:right w:val="none" w:sz="0" w:space="0" w:color="auto"/>
          </w:divBdr>
        </w:div>
        <w:div w:id="1631590743">
          <w:marLeft w:val="2261"/>
          <w:marRight w:val="0"/>
          <w:marTop w:val="60"/>
          <w:marBottom w:val="0"/>
          <w:divBdr>
            <w:top w:val="none" w:sz="0" w:space="0" w:color="auto"/>
            <w:left w:val="none" w:sz="0" w:space="0" w:color="auto"/>
            <w:bottom w:val="none" w:sz="0" w:space="0" w:color="auto"/>
            <w:right w:val="none" w:sz="0" w:space="0" w:color="auto"/>
          </w:divBdr>
        </w:div>
        <w:div w:id="1609310444">
          <w:marLeft w:val="1699"/>
          <w:marRight w:val="0"/>
          <w:marTop w:val="60"/>
          <w:marBottom w:val="0"/>
          <w:divBdr>
            <w:top w:val="none" w:sz="0" w:space="0" w:color="auto"/>
            <w:left w:val="none" w:sz="0" w:space="0" w:color="auto"/>
            <w:bottom w:val="none" w:sz="0" w:space="0" w:color="auto"/>
            <w:right w:val="none" w:sz="0" w:space="0" w:color="auto"/>
          </w:divBdr>
        </w:div>
        <w:div w:id="2026129770">
          <w:marLeft w:val="1699"/>
          <w:marRight w:val="0"/>
          <w:marTop w:val="60"/>
          <w:marBottom w:val="0"/>
          <w:divBdr>
            <w:top w:val="none" w:sz="0" w:space="0" w:color="auto"/>
            <w:left w:val="none" w:sz="0" w:space="0" w:color="auto"/>
            <w:bottom w:val="none" w:sz="0" w:space="0" w:color="auto"/>
            <w:right w:val="none" w:sz="0" w:space="0" w:color="auto"/>
          </w:divBdr>
        </w:div>
        <w:div w:id="1948273518">
          <w:marLeft w:val="2261"/>
          <w:marRight w:val="0"/>
          <w:marTop w:val="60"/>
          <w:marBottom w:val="0"/>
          <w:divBdr>
            <w:top w:val="none" w:sz="0" w:space="0" w:color="auto"/>
            <w:left w:val="none" w:sz="0" w:space="0" w:color="auto"/>
            <w:bottom w:val="none" w:sz="0" w:space="0" w:color="auto"/>
            <w:right w:val="none" w:sz="0" w:space="0" w:color="auto"/>
          </w:divBdr>
        </w:div>
        <w:div w:id="1269316248">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302A4-B0F5-4DAB-AC31-ED53B716C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1953</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2019-03-11T22:18:00Z</dcterms:created>
  <dcterms:modified xsi:type="dcterms:W3CDTF">2019-03-11T22:19:00Z</dcterms:modified>
</cp:coreProperties>
</file>